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0F8" w:rsidRPr="00845C02" w:rsidRDefault="00E01D98" w:rsidP="00845C02">
      <w:pPr>
        <w:spacing w:line="360" w:lineRule="auto"/>
        <w:jc w:val="center"/>
        <w:rPr>
          <w:rFonts w:ascii="Rupee Foradian" w:hAnsi="Rupee Foradian" w:cs="Arial"/>
          <w:b/>
          <w:bCs/>
          <w:sz w:val="20"/>
        </w:rPr>
      </w:pPr>
      <w:r>
        <w:rPr>
          <w:rFonts w:ascii="Rupee Foradian" w:hAnsi="Rupee Foradian" w:cs="Arial"/>
          <w:b/>
          <w:bCs/>
          <w:sz w:val="20"/>
        </w:rPr>
        <w:t xml:space="preserve">Micro Finance Operations </w:t>
      </w:r>
    </w:p>
    <w:p w:rsidR="00C070F8" w:rsidRPr="00134887" w:rsidRDefault="006336FB" w:rsidP="00134887">
      <w:pPr>
        <w:pStyle w:val="ListParagraph"/>
        <w:ind w:left="450"/>
        <w:jc w:val="both"/>
        <w:rPr>
          <w:rFonts w:ascii="Rupee Foradian" w:hAnsi="Rupee Foradian" w:cs="Arial"/>
          <w:color w:val="333333"/>
          <w:sz w:val="20"/>
          <w:shd w:val="clear" w:color="auto" w:fill="FFFFFF"/>
        </w:rPr>
      </w:pPr>
      <w:r w:rsidRPr="00134887">
        <w:rPr>
          <w:rFonts w:ascii="Rupee Foradian" w:eastAsia="Times New Roman" w:hAnsi="Rupee Foradian" w:cs="Arial"/>
          <w:sz w:val="20"/>
        </w:rPr>
        <w:t>SIDBI with an intention to fill the institutional void in inclusion space, started experimenting in 1994 by dispensing Micro Credit through the NGOs wherein such institutions were used as financial intermediaries for delivering credit to the poor and unreached, mainly women. Looking at the success of the pilot intervention, the program was subsequently, reoriented and scaled up to serve the huge unmet demand for microfinance in the country. The NGOs and such other Community Development Finance Institutions were consciously selected by the bank to build capacity to imbibe in them the necessary lending and institutional borrowing capabilities. A department within SIDBI viz. SIDBI Foundation for Micro Credit (SFMC) was created in 1999 to serve as an apex wholesale unit for microfinance providing a complete range of financial and non-financial services to the MFIs, so as to facilitate their development into financially sustainable entities. Subsequently, other Banks / FIs also followed and started lending to MFIs.</w:t>
      </w:r>
      <w:r w:rsidR="002C6BA2">
        <w:rPr>
          <w:rFonts w:ascii="Rupee Foradian" w:eastAsia="Times New Roman" w:hAnsi="Rupee Foradian" w:cs="Arial"/>
          <w:sz w:val="20"/>
        </w:rPr>
        <w:t xml:space="preserve"> </w:t>
      </w:r>
      <w:r w:rsidR="002F46D2">
        <w:rPr>
          <w:rFonts w:ascii="Rupee Foradian" w:eastAsia="Times New Roman" w:hAnsi="Rupee Foradian" w:cs="Arial"/>
          <w:sz w:val="20"/>
        </w:rPr>
        <w:t>With a view to streamline operations,</w:t>
      </w:r>
      <w:bookmarkStart w:id="0" w:name="_GoBack"/>
      <w:bookmarkEnd w:id="0"/>
      <w:r w:rsidR="002F46D2">
        <w:rPr>
          <w:rFonts w:ascii="Rupee Foradian" w:eastAsia="Times New Roman" w:hAnsi="Rupee Foradian" w:cs="Arial"/>
          <w:sz w:val="20"/>
        </w:rPr>
        <w:t xml:space="preserve"> all </w:t>
      </w:r>
      <w:r w:rsidR="002C6BA2">
        <w:rPr>
          <w:rFonts w:ascii="Rupee Foradian" w:eastAsia="Times New Roman" w:hAnsi="Rupee Foradian" w:cs="Arial"/>
          <w:sz w:val="20"/>
        </w:rPr>
        <w:t>Institutional Finance</w:t>
      </w:r>
      <w:r w:rsidR="002F46D2">
        <w:rPr>
          <w:rFonts w:ascii="Rupee Foradian" w:eastAsia="Times New Roman" w:hAnsi="Rupee Foradian" w:cs="Arial"/>
          <w:sz w:val="20"/>
        </w:rPr>
        <w:t xml:space="preserve"> business was brought under </w:t>
      </w:r>
      <w:r w:rsidR="002C6BA2">
        <w:rPr>
          <w:rFonts w:ascii="Rupee Foradian" w:eastAsia="Times New Roman" w:hAnsi="Rupee Foradian" w:cs="Arial"/>
          <w:sz w:val="20"/>
        </w:rPr>
        <w:t>I</w:t>
      </w:r>
      <w:r w:rsidR="002F46D2">
        <w:rPr>
          <w:rFonts w:ascii="Rupee Foradian" w:eastAsia="Times New Roman" w:hAnsi="Rupee Foradian" w:cs="Arial"/>
          <w:sz w:val="20"/>
        </w:rPr>
        <w:t>nstitutional Finance Vertical (I</w:t>
      </w:r>
      <w:r w:rsidR="002C6BA2">
        <w:rPr>
          <w:rFonts w:ascii="Rupee Foradian" w:eastAsia="Times New Roman" w:hAnsi="Rupee Foradian" w:cs="Arial"/>
          <w:sz w:val="20"/>
        </w:rPr>
        <w:t>FV</w:t>
      </w:r>
      <w:r w:rsidR="002F46D2">
        <w:rPr>
          <w:rFonts w:ascii="Rupee Foradian" w:eastAsia="Times New Roman" w:hAnsi="Rupee Foradian" w:cs="Arial"/>
          <w:sz w:val="20"/>
        </w:rPr>
        <w:t>) alongwith support to Bank, NBFCs, etc.</w:t>
      </w:r>
    </w:p>
    <w:tbl>
      <w:tblPr>
        <w:tblW w:w="4783" w:type="pct"/>
        <w:tblInd w:w="414" w:type="dxa"/>
        <w:tblBorders>
          <w:top w:val="single" w:sz="12" w:space="0" w:color="BBBBBB"/>
          <w:left w:val="single" w:sz="12" w:space="0" w:color="BBBBBB"/>
          <w:bottom w:val="single" w:sz="12" w:space="0" w:color="BBBBBB"/>
          <w:right w:val="single" w:sz="12" w:space="0" w:color="BBBBBB"/>
        </w:tblBorders>
        <w:shd w:val="clear" w:color="auto" w:fill="FFFFFF"/>
        <w:tblCellMar>
          <w:left w:w="0" w:type="dxa"/>
          <w:right w:w="0" w:type="dxa"/>
        </w:tblCellMar>
        <w:tblLook w:val="04A0" w:firstRow="1" w:lastRow="0" w:firstColumn="1" w:lastColumn="0" w:noHBand="0" w:noVBand="1"/>
      </w:tblPr>
      <w:tblGrid>
        <w:gridCol w:w="8949"/>
      </w:tblGrid>
      <w:tr w:rsidR="0037777F" w:rsidRPr="00134887" w:rsidTr="0037777F">
        <w:tc>
          <w:tcPr>
            <w:tcW w:w="5000" w:type="pct"/>
            <w:tcBorders>
              <w:top w:val="nil"/>
              <w:left w:val="nil"/>
              <w:bottom w:val="single" w:sz="4" w:space="0" w:color="CCCCCC"/>
              <w:right w:val="single" w:sz="4" w:space="0" w:color="CCCCCC"/>
            </w:tcBorders>
            <w:shd w:val="clear" w:color="auto" w:fill="FFFFFF"/>
            <w:tcMar>
              <w:top w:w="86" w:type="dxa"/>
              <w:left w:w="54" w:type="dxa"/>
              <w:bottom w:w="86" w:type="dxa"/>
              <w:right w:w="107" w:type="dxa"/>
            </w:tcMar>
            <w:hideMark/>
          </w:tcPr>
          <w:p w:rsidR="0037777F" w:rsidRPr="00134887" w:rsidRDefault="006336FB" w:rsidP="0037777F">
            <w:pPr>
              <w:spacing w:before="215" w:after="75" w:line="0" w:lineRule="atLeast"/>
              <w:jc w:val="both"/>
              <w:outlineLvl w:val="1"/>
              <w:rPr>
                <w:rFonts w:ascii="Rupee Foradian" w:eastAsia="Times New Roman" w:hAnsi="Rupee Foradian" w:cs="Arial"/>
                <w:b/>
                <w:bCs/>
                <w:color w:val="333399"/>
                <w:sz w:val="20"/>
                <w:u w:val="single"/>
              </w:rPr>
            </w:pPr>
            <w:r w:rsidRPr="00134887">
              <w:rPr>
                <w:rFonts w:ascii="Rupee Foradian" w:eastAsia="Times New Roman" w:hAnsi="Rupee Foradian" w:cs="Arial"/>
                <w:b/>
                <w:bCs/>
                <w:color w:val="333399"/>
                <w:sz w:val="20"/>
                <w:u w:val="single"/>
              </w:rPr>
              <w:t>Mission</w:t>
            </w:r>
          </w:p>
        </w:tc>
      </w:tr>
      <w:tr w:rsidR="0037777F" w:rsidRPr="00134887" w:rsidTr="0037777F">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37777F" w:rsidRPr="00134887" w:rsidRDefault="002C6BA2" w:rsidP="0037777F">
            <w:pPr>
              <w:spacing w:after="0" w:line="0" w:lineRule="atLeast"/>
              <w:jc w:val="both"/>
              <w:rPr>
                <w:rFonts w:ascii="Rupee Foradian" w:eastAsia="Times New Roman" w:hAnsi="Rupee Foradian" w:cs="Arial"/>
                <w:color w:val="333333"/>
                <w:sz w:val="20"/>
              </w:rPr>
            </w:pPr>
            <w:r>
              <w:rPr>
                <w:rFonts w:ascii="Rupee Foradian" w:eastAsia="Times New Roman" w:hAnsi="Rupee Foradian" w:cs="Arial"/>
                <w:color w:val="333333"/>
                <w:sz w:val="20"/>
              </w:rPr>
              <w:t>T</w:t>
            </w:r>
            <w:r w:rsidR="00AF5EF6">
              <w:rPr>
                <w:rFonts w:ascii="Rupee Foradian" w:eastAsia="Times New Roman" w:hAnsi="Rupee Foradian" w:cs="Arial"/>
                <w:color w:val="333333"/>
                <w:sz w:val="20"/>
              </w:rPr>
              <w:t>o</w:t>
            </w:r>
            <w:r w:rsidR="006336FB" w:rsidRPr="00134887">
              <w:rPr>
                <w:rFonts w:ascii="Rupee Foradian" w:eastAsia="Times New Roman" w:hAnsi="Rupee Foradian" w:cs="Arial"/>
                <w:color w:val="333333"/>
                <w:sz w:val="20"/>
              </w:rPr>
              <w:t xml:space="preserve"> create a national network of strong, viable and sustainable Micro Finance Institutions (MFIs) for providing micro finance services to the economically disadvantaged people, especially women.</w:t>
            </w:r>
          </w:p>
        </w:tc>
      </w:tr>
      <w:tr w:rsidR="0037777F" w:rsidRPr="00134887" w:rsidTr="0037777F">
        <w:tc>
          <w:tcPr>
            <w:tcW w:w="5000" w:type="pct"/>
            <w:tcBorders>
              <w:top w:val="nil"/>
              <w:left w:val="nil"/>
              <w:bottom w:val="single" w:sz="4" w:space="0" w:color="CCCCCC"/>
              <w:right w:val="single" w:sz="4" w:space="0" w:color="CCCCCC"/>
            </w:tcBorders>
            <w:shd w:val="clear" w:color="auto" w:fill="FFFFFF"/>
            <w:tcMar>
              <w:top w:w="86" w:type="dxa"/>
              <w:left w:w="54" w:type="dxa"/>
              <w:bottom w:w="86" w:type="dxa"/>
              <w:right w:w="107" w:type="dxa"/>
            </w:tcMar>
            <w:hideMark/>
          </w:tcPr>
          <w:p w:rsidR="0037777F" w:rsidRPr="00134887" w:rsidRDefault="006336FB" w:rsidP="0037777F">
            <w:pPr>
              <w:spacing w:before="215" w:after="75" w:line="0" w:lineRule="atLeast"/>
              <w:jc w:val="both"/>
              <w:outlineLvl w:val="1"/>
              <w:rPr>
                <w:rFonts w:ascii="Rupee Foradian" w:eastAsia="Times New Roman" w:hAnsi="Rupee Foradian" w:cs="Arial"/>
                <w:color w:val="333399"/>
                <w:sz w:val="20"/>
              </w:rPr>
            </w:pPr>
            <w:r w:rsidRPr="00134887">
              <w:rPr>
                <w:rFonts w:ascii="Rupee Foradian" w:eastAsia="Times New Roman" w:hAnsi="Rupee Foradian" w:cs="Arial"/>
                <w:b/>
                <w:bCs/>
                <w:color w:val="333399"/>
                <w:sz w:val="20"/>
                <w:u w:val="single"/>
              </w:rPr>
              <w:t>Approach</w:t>
            </w:r>
          </w:p>
        </w:tc>
      </w:tr>
      <w:tr w:rsidR="0037777F" w:rsidRPr="00134887" w:rsidTr="0037777F">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C070F8" w:rsidRPr="00134887" w:rsidRDefault="00E01D98" w:rsidP="00134887">
            <w:pPr>
              <w:spacing w:after="0"/>
              <w:jc w:val="both"/>
              <w:rPr>
                <w:rFonts w:ascii="Rupee Foradian" w:eastAsia="Times New Roman" w:hAnsi="Rupee Foradian" w:cs="Arial"/>
                <w:color w:val="333333"/>
                <w:sz w:val="20"/>
              </w:rPr>
            </w:pPr>
            <w:r>
              <w:rPr>
                <w:rFonts w:ascii="Rupee Foradian" w:eastAsia="Times New Roman" w:hAnsi="Rupee Foradian" w:cs="Arial"/>
                <w:color w:val="333333"/>
                <w:sz w:val="20"/>
              </w:rPr>
              <w:t>SIDBI</w:t>
            </w:r>
            <w:r w:rsidR="006336FB" w:rsidRPr="00134887">
              <w:rPr>
                <w:rFonts w:ascii="Rupee Foradian" w:eastAsia="Times New Roman" w:hAnsi="Rupee Foradian" w:cs="Arial"/>
                <w:color w:val="333333"/>
                <w:sz w:val="20"/>
              </w:rPr>
              <w:t xml:space="preserve"> is providing a complete range of financial and non-financial services such as loan funds, grant support, equity and institution building support to the retailing Micro Finance Institutions (MFIs) so as to facilitate their development into financially sustainable entities, besides developing a network of service providers for the sector. </w:t>
            </w:r>
            <w:r>
              <w:rPr>
                <w:rFonts w:ascii="Rupee Foradian" w:eastAsia="Times New Roman" w:hAnsi="Rupee Foradian" w:cs="Arial"/>
                <w:color w:val="333333"/>
                <w:sz w:val="20"/>
              </w:rPr>
              <w:t>SIDBI</w:t>
            </w:r>
            <w:r w:rsidR="006336FB" w:rsidRPr="00134887">
              <w:rPr>
                <w:rFonts w:ascii="Rupee Foradian" w:eastAsia="Times New Roman" w:hAnsi="Rupee Foradian" w:cs="Arial"/>
                <w:color w:val="333333"/>
                <w:sz w:val="20"/>
              </w:rPr>
              <w:t xml:space="preserve"> is also playing significant role in advocating appropriate policies and regulations and to act as a platform for exchange of information across the sector. </w:t>
            </w:r>
            <w:r>
              <w:rPr>
                <w:rFonts w:ascii="Rupee Foradian" w:eastAsia="Times New Roman" w:hAnsi="Rupee Foradian" w:cs="Arial"/>
                <w:color w:val="333333"/>
                <w:sz w:val="20"/>
              </w:rPr>
              <w:t xml:space="preserve">Bank’s  Micro Finance operation </w:t>
            </w:r>
            <w:r w:rsidR="006336FB" w:rsidRPr="00134887">
              <w:rPr>
                <w:rFonts w:ascii="Rupee Foradian" w:eastAsia="Times New Roman" w:hAnsi="Rupee Foradian" w:cs="Arial"/>
                <w:color w:val="333333"/>
                <w:sz w:val="20"/>
              </w:rPr>
              <w:t>in the coming years,</w:t>
            </w:r>
            <w:r w:rsidR="00DC3CEB">
              <w:rPr>
                <w:rFonts w:ascii="Rupee Foradian" w:eastAsia="Times New Roman" w:hAnsi="Rupee Foradian" w:cs="Arial"/>
                <w:color w:val="333333"/>
                <w:sz w:val="20"/>
              </w:rPr>
              <w:t xml:space="preserve"> is </w:t>
            </w:r>
            <w:r w:rsidR="006336FB" w:rsidRPr="00134887">
              <w:rPr>
                <w:rFonts w:ascii="Rupee Foradian" w:eastAsia="Times New Roman" w:hAnsi="Rupee Foradian" w:cs="Arial"/>
                <w:color w:val="333333"/>
                <w:sz w:val="20"/>
              </w:rPr>
              <w:t>expected to contribute significantly towards development of a more formal, extensive and effective micro finance sector serving the financially excluded  in India with focus on innovation and action research.</w:t>
            </w:r>
          </w:p>
        </w:tc>
      </w:tr>
      <w:tr w:rsidR="00FC5342" w:rsidRPr="00134887" w:rsidTr="00134887">
        <w:trPr>
          <w:trHeight w:val="481"/>
        </w:trPr>
        <w:tc>
          <w:tcPr>
            <w:tcW w:w="5000" w:type="pct"/>
            <w:tcBorders>
              <w:top w:val="nil"/>
              <w:left w:val="nil"/>
              <w:bottom w:val="single" w:sz="4" w:space="0" w:color="CCCCCC"/>
              <w:right w:val="single" w:sz="4" w:space="0" w:color="CCCCCC"/>
            </w:tcBorders>
            <w:shd w:val="clear" w:color="auto" w:fill="auto"/>
            <w:tcMar>
              <w:top w:w="86" w:type="dxa"/>
              <w:left w:w="54" w:type="dxa"/>
              <w:bottom w:w="86" w:type="dxa"/>
              <w:right w:w="107" w:type="dxa"/>
            </w:tcMar>
            <w:hideMark/>
          </w:tcPr>
          <w:p w:rsidR="00C070F8" w:rsidRPr="00134887" w:rsidRDefault="006336FB" w:rsidP="00134887">
            <w:pPr>
              <w:spacing w:after="75" w:line="0" w:lineRule="atLeast"/>
              <w:jc w:val="both"/>
              <w:outlineLvl w:val="1"/>
              <w:rPr>
                <w:rFonts w:ascii="Rupee Foradian" w:eastAsia="Times New Roman" w:hAnsi="Rupee Foradian" w:cs="Arial"/>
                <w:b/>
                <w:bCs/>
                <w:color w:val="333399"/>
                <w:sz w:val="20"/>
                <w:u w:val="single"/>
              </w:rPr>
            </w:pPr>
            <w:r w:rsidRPr="00134887">
              <w:rPr>
                <w:rFonts w:ascii="Rupee Foradian" w:eastAsia="Times New Roman" w:hAnsi="Rupee Foradian" w:cs="Arial"/>
                <w:b/>
                <w:bCs/>
                <w:color w:val="333399"/>
                <w:sz w:val="20"/>
                <w:u w:val="single"/>
              </w:rPr>
              <w:t>National Microfinance Support Programme (NMFSP)</w:t>
            </w:r>
          </w:p>
        </w:tc>
      </w:tr>
      <w:tr w:rsidR="00C41123" w:rsidRPr="00134887" w:rsidTr="0037777F">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C070F8" w:rsidRPr="00134887" w:rsidRDefault="006336FB" w:rsidP="00134887">
            <w:pPr>
              <w:spacing w:after="75"/>
              <w:jc w:val="both"/>
              <w:outlineLvl w:val="1"/>
              <w:rPr>
                <w:rFonts w:ascii="Rupee Foradian" w:eastAsia="Times New Roman" w:hAnsi="Rupee Foradian" w:cs="Arial"/>
                <w:color w:val="333333"/>
                <w:sz w:val="20"/>
              </w:rPr>
            </w:pPr>
            <w:r w:rsidRPr="00134887">
              <w:rPr>
                <w:rFonts w:ascii="Rupee Foradian" w:eastAsia="Times New Roman" w:hAnsi="Rupee Foradian" w:cs="Arial"/>
                <w:color w:val="333333"/>
                <w:sz w:val="20"/>
              </w:rPr>
              <w:t>With a view to draw upon the international experience and bring in the microfinance best practices within the country, the “National Microfinance Support Programme (NMFSP)” was launched by SIDBI in April 2000.</w:t>
            </w:r>
            <w:r w:rsidR="002C3275" w:rsidRPr="00134887">
              <w:rPr>
                <w:rFonts w:ascii="Rupee Foradian" w:eastAsia="Times New Roman" w:hAnsi="Rupee Foradian" w:cs="Arial"/>
                <w:color w:val="333333"/>
                <w:sz w:val="20"/>
              </w:rPr>
              <w:t xml:space="preserve"> </w:t>
            </w:r>
          </w:p>
          <w:p w:rsidR="00C070F8" w:rsidRPr="00134887" w:rsidRDefault="006336FB" w:rsidP="00134887">
            <w:pPr>
              <w:autoSpaceDE w:val="0"/>
              <w:autoSpaceDN w:val="0"/>
              <w:adjustRightInd w:val="0"/>
              <w:spacing w:after="0"/>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Under the NMFSP, SIDBI entered into a collaboration with Department for International Development (DFID), UK in April 2000. Subsequently, another collaboration with International Fund for Agricultural Development (IFAD), Rome in April 2002 was made with a view to providing on-lending fund support to partner MFIs. </w:t>
            </w:r>
          </w:p>
          <w:p w:rsidR="00C070F8" w:rsidRPr="00134887" w:rsidRDefault="006336FB" w:rsidP="00134887">
            <w:pPr>
              <w:autoSpaceDE w:val="0"/>
              <w:autoSpaceDN w:val="0"/>
              <w:adjustRightInd w:val="0"/>
              <w:spacing w:after="0"/>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The purpose of the programme was: (i) to contribute to the development of a more formal, extensive and effective microfinance sector on a national scale that serves poor </w:t>
            </w:r>
            <w:r w:rsidRPr="00134887">
              <w:rPr>
                <w:rFonts w:ascii="Rupee Foradian" w:eastAsia="Times New Roman" w:hAnsi="Rupee Foradian" w:cs="Arial"/>
                <w:color w:val="333333"/>
                <w:sz w:val="20"/>
              </w:rPr>
              <w:lastRenderedPageBreak/>
              <w:t>women and men; and (ii) to assist in the evolution of an appropriate enabling environment for the development of sustainable finance institutions.</w:t>
            </w:r>
            <w:r w:rsidR="002C3275" w:rsidRPr="00134887">
              <w:rPr>
                <w:rFonts w:ascii="Rupee Foradian" w:eastAsia="Times New Roman" w:hAnsi="Rupee Foradian" w:cs="Arial"/>
                <w:color w:val="333333"/>
                <w:sz w:val="20"/>
              </w:rPr>
              <w:t xml:space="preserve"> </w:t>
            </w:r>
          </w:p>
          <w:p w:rsidR="00C070F8" w:rsidRPr="00134887" w:rsidRDefault="00C070F8" w:rsidP="00C070F8">
            <w:pPr>
              <w:autoSpaceDE w:val="0"/>
              <w:autoSpaceDN w:val="0"/>
              <w:adjustRightInd w:val="0"/>
              <w:spacing w:after="0" w:line="240" w:lineRule="auto"/>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SIDBI   commissioned a 7-Year Impact Assessment Study to assess on a National Scale the development impact of MFI programme in relation to different product designs and delivery systems. The major highlights of the findings are as under : </w:t>
            </w:r>
          </w:p>
          <w:p w:rsidR="00C070F8" w:rsidRPr="00134887" w:rsidRDefault="00C070F8" w:rsidP="00C070F8">
            <w:pPr>
              <w:autoSpaceDE w:val="0"/>
              <w:autoSpaceDN w:val="0"/>
              <w:adjustRightInd w:val="0"/>
              <w:spacing w:after="0" w:line="240" w:lineRule="auto"/>
              <w:jc w:val="both"/>
              <w:rPr>
                <w:rFonts w:ascii="Rupee Foradian" w:eastAsia="Times New Roman" w:hAnsi="Rupee Foradian" w:cs="Arial"/>
                <w:color w:val="333333"/>
                <w:sz w:val="20"/>
              </w:rPr>
            </w:pPr>
          </w:p>
          <w:p w:rsidR="00C070F8" w:rsidRPr="00134887" w:rsidRDefault="00C070F8" w:rsidP="00C070F8">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Cs w:val="22"/>
              </w:rPr>
              <w:t>i.</w:t>
            </w:r>
            <w:r w:rsidRPr="00134887">
              <w:rPr>
                <w:rFonts w:ascii="Rupee Foradian" w:hAnsi="Rupee Foradian" w:cs="Rupee Foradian"/>
                <w:color w:val="000000"/>
                <w:szCs w:val="22"/>
              </w:rPr>
              <w:tab/>
            </w:r>
            <w:r w:rsidRPr="00134887">
              <w:rPr>
                <w:rFonts w:ascii="Rupee Foradian" w:hAnsi="Rupee Foradian" w:cs="Rupee Foradian"/>
                <w:color w:val="000000"/>
                <w:sz w:val="20"/>
              </w:rPr>
              <w:t xml:space="preserve">Micro finance is an effective strategy for extending financial services to the poor and other disadvantaged groups (92% of sample clients had no access to formal sources of credit). </w:t>
            </w:r>
          </w:p>
          <w:p w:rsidR="00C070F8" w:rsidRPr="00134887" w:rsidRDefault="00C070F8" w:rsidP="00C070F8">
            <w:pPr>
              <w:autoSpaceDE w:val="0"/>
              <w:autoSpaceDN w:val="0"/>
              <w:adjustRightInd w:val="0"/>
              <w:spacing w:after="0" w:line="240" w:lineRule="auto"/>
              <w:jc w:val="both"/>
              <w:rPr>
                <w:rFonts w:ascii="Rupee Foradian" w:hAnsi="Rupee Foradian" w:cs="Rupee Foradian"/>
                <w:color w:val="000000"/>
                <w:sz w:val="20"/>
              </w:rPr>
            </w:pPr>
          </w:p>
          <w:p w:rsidR="00C070F8" w:rsidRPr="00134887" w:rsidRDefault="00C070F8" w:rsidP="00C070F8">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 w:val="20"/>
              </w:rPr>
              <w:t>ii.</w:t>
            </w:r>
            <w:r w:rsidRPr="00134887">
              <w:rPr>
                <w:rFonts w:ascii="Rupee Foradian" w:hAnsi="Rupee Foradian" w:cs="Rupee Foradian"/>
                <w:color w:val="000000"/>
                <w:sz w:val="20"/>
              </w:rPr>
              <w:tab/>
              <w:t xml:space="preserve">SIDBI’s micro finance has effectively reached out to the underprivileged sections of society with SC/STs and Backward Classes accounting for 73% of the sample. </w:t>
            </w:r>
          </w:p>
          <w:p w:rsidR="00C070F8" w:rsidRPr="00134887" w:rsidRDefault="00C070F8" w:rsidP="00C070F8">
            <w:pPr>
              <w:autoSpaceDE w:val="0"/>
              <w:autoSpaceDN w:val="0"/>
              <w:adjustRightInd w:val="0"/>
              <w:spacing w:after="0" w:line="240" w:lineRule="auto"/>
              <w:ind w:left="720"/>
              <w:rPr>
                <w:rFonts w:ascii="Rupee Foradian" w:hAnsi="Rupee Foradian" w:cs="Rupee Foradian"/>
                <w:color w:val="000000"/>
                <w:sz w:val="20"/>
              </w:rPr>
            </w:pPr>
          </w:p>
          <w:p w:rsidR="00C070F8" w:rsidRPr="00134887" w:rsidRDefault="00C070F8" w:rsidP="00C070F8">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 w:val="20"/>
              </w:rPr>
              <w:t>iii.</w:t>
            </w:r>
            <w:r w:rsidRPr="00134887">
              <w:rPr>
                <w:rFonts w:ascii="Rupee Foradian" w:hAnsi="Rupee Foradian" w:cs="Rupee Foradian"/>
                <w:color w:val="000000"/>
                <w:sz w:val="20"/>
              </w:rPr>
              <w:tab/>
              <w:t xml:space="preserve">The programme has predominantly reached out to the rural areas with two-third of the sample households belonging to such areas. </w:t>
            </w:r>
          </w:p>
          <w:p w:rsidR="00C070F8" w:rsidRPr="00134887" w:rsidRDefault="00C070F8" w:rsidP="00C070F8">
            <w:pPr>
              <w:autoSpaceDE w:val="0"/>
              <w:autoSpaceDN w:val="0"/>
              <w:adjustRightInd w:val="0"/>
              <w:spacing w:after="0" w:line="240" w:lineRule="auto"/>
              <w:jc w:val="both"/>
              <w:rPr>
                <w:rFonts w:ascii="Rupee Foradian" w:hAnsi="Rupee Foradian" w:cs="Rupee Foradian"/>
                <w:color w:val="000000"/>
                <w:sz w:val="20"/>
              </w:rPr>
            </w:pPr>
          </w:p>
          <w:p w:rsidR="00C070F8" w:rsidRPr="00134887" w:rsidRDefault="00C070F8" w:rsidP="00C070F8">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 w:val="20"/>
              </w:rPr>
              <w:t>iv.</w:t>
            </w:r>
            <w:r w:rsidRPr="00134887">
              <w:rPr>
                <w:rFonts w:ascii="Rupee Foradian" w:hAnsi="Rupee Foradian" w:cs="Rupee Foradian"/>
                <w:color w:val="000000"/>
                <w:sz w:val="20"/>
              </w:rPr>
              <w:tab/>
              <w:t>Women constituted around 80% of sample clients, although the proportion of women was as high as 96% in SHG model and 98% in Grameen model.</w:t>
            </w:r>
          </w:p>
          <w:p w:rsidR="00C070F8" w:rsidRPr="00134887" w:rsidRDefault="00C070F8" w:rsidP="00C070F8">
            <w:pPr>
              <w:autoSpaceDE w:val="0"/>
              <w:autoSpaceDN w:val="0"/>
              <w:adjustRightInd w:val="0"/>
              <w:spacing w:after="0" w:line="240" w:lineRule="auto"/>
              <w:ind w:left="720"/>
              <w:rPr>
                <w:rFonts w:ascii="Rupee Foradian" w:hAnsi="Rupee Foradian" w:cs="Rupee Foradian"/>
                <w:color w:val="000000"/>
                <w:sz w:val="20"/>
              </w:rPr>
            </w:pPr>
          </w:p>
          <w:p w:rsidR="00C070F8" w:rsidRPr="00134887" w:rsidRDefault="00C070F8" w:rsidP="00C070F8">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 w:val="20"/>
              </w:rPr>
              <w:t>v.</w:t>
            </w:r>
            <w:r w:rsidRPr="00134887">
              <w:rPr>
                <w:rFonts w:ascii="Rupee Foradian" w:hAnsi="Rupee Foradian" w:cs="Rupee Foradian"/>
                <w:color w:val="000000"/>
                <w:sz w:val="20"/>
              </w:rPr>
              <w:tab/>
              <w:t>MFI intervention has brought changes in the livelihood pattern by giving  impetus to enterprise activity.</w:t>
            </w:r>
          </w:p>
          <w:p w:rsidR="00C070F8" w:rsidRPr="00134887" w:rsidRDefault="00C070F8" w:rsidP="00C070F8">
            <w:pPr>
              <w:autoSpaceDE w:val="0"/>
              <w:autoSpaceDN w:val="0"/>
              <w:adjustRightInd w:val="0"/>
              <w:spacing w:after="0" w:line="240" w:lineRule="auto"/>
              <w:ind w:left="720"/>
              <w:rPr>
                <w:rFonts w:ascii="Rupee Foradian" w:hAnsi="Rupee Foradian" w:cs="Rupee Foradian"/>
                <w:color w:val="000000"/>
                <w:sz w:val="20"/>
              </w:rPr>
            </w:pPr>
          </w:p>
          <w:p w:rsidR="00C070F8" w:rsidRPr="00134887" w:rsidRDefault="00C070F8" w:rsidP="00134887">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 w:val="20"/>
              </w:rPr>
              <w:t>vi.</w:t>
            </w:r>
            <w:r w:rsidRPr="00134887">
              <w:rPr>
                <w:rFonts w:ascii="Rupee Foradian" w:hAnsi="Rupee Foradian" w:cs="Rupee Foradian"/>
                <w:color w:val="000000"/>
                <w:sz w:val="20"/>
              </w:rPr>
              <w:tab/>
              <w:t>Access to formal credit among the sample households increased across almost all wealth ranks and inculcate saving habits among the clients.</w:t>
            </w:r>
          </w:p>
          <w:p w:rsidR="00C070F8" w:rsidRPr="00134887" w:rsidRDefault="00C070F8" w:rsidP="00134887">
            <w:pPr>
              <w:autoSpaceDE w:val="0"/>
              <w:autoSpaceDN w:val="0"/>
              <w:adjustRightInd w:val="0"/>
              <w:spacing w:after="0" w:line="240" w:lineRule="auto"/>
              <w:ind w:left="720" w:hanging="360"/>
              <w:jc w:val="both"/>
              <w:rPr>
                <w:rFonts w:ascii="Rupee Foradian" w:hAnsi="Rupee Foradian" w:cs="Rupee Foradian"/>
                <w:color w:val="000000"/>
                <w:sz w:val="20"/>
              </w:rPr>
            </w:pPr>
          </w:p>
          <w:p w:rsidR="00C070F8" w:rsidRPr="00134887" w:rsidRDefault="00C070F8" w:rsidP="00134887">
            <w:pPr>
              <w:autoSpaceDE w:val="0"/>
              <w:autoSpaceDN w:val="0"/>
              <w:adjustRightInd w:val="0"/>
              <w:spacing w:after="0" w:line="240" w:lineRule="auto"/>
              <w:ind w:left="720" w:hanging="360"/>
              <w:jc w:val="both"/>
              <w:rPr>
                <w:rFonts w:ascii="Rupee Foradian" w:hAnsi="Rupee Foradian" w:cs="Rupee Foradian"/>
                <w:color w:val="000000"/>
                <w:sz w:val="20"/>
              </w:rPr>
            </w:pPr>
            <w:r w:rsidRPr="00134887">
              <w:rPr>
                <w:rFonts w:ascii="Rupee Foradian" w:hAnsi="Rupee Foradian" w:cs="Rupee Foradian"/>
                <w:color w:val="000000"/>
                <w:sz w:val="20"/>
              </w:rPr>
              <w:t xml:space="preserve">vii. The number of school going children increased among the client households post </w:t>
            </w:r>
            <w:proofErr w:type="spellStart"/>
            <w:r w:rsidRPr="00134887">
              <w:rPr>
                <w:rFonts w:ascii="Rupee Foradian" w:hAnsi="Rupee Foradian" w:cs="Rupee Foradian"/>
                <w:color w:val="000000"/>
                <w:sz w:val="20"/>
              </w:rPr>
              <w:t>availment</w:t>
            </w:r>
            <w:proofErr w:type="spellEnd"/>
            <w:r w:rsidRPr="00134887">
              <w:rPr>
                <w:rFonts w:ascii="Rupee Foradian" w:hAnsi="Rupee Foradian" w:cs="Rupee Foradian"/>
                <w:color w:val="000000"/>
                <w:sz w:val="20"/>
              </w:rPr>
              <w:t xml:space="preserve"> of loan from the MFIs</w:t>
            </w:r>
          </w:p>
        </w:tc>
      </w:tr>
      <w:tr w:rsidR="0037777F" w:rsidRPr="00134887" w:rsidTr="0037777F">
        <w:tc>
          <w:tcPr>
            <w:tcW w:w="5000" w:type="pct"/>
            <w:tcBorders>
              <w:top w:val="nil"/>
              <w:left w:val="nil"/>
              <w:bottom w:val="single" w:sz="4" w:space="0" w:color="CCCCCC"/>
              <w:right w:val="single" w:sz="4" w:space="0" w:color="CCCCCC"/>
            </w:tcBorders>
            <w:shd w:val="clear" w:color="auto" w:fill="FFFFFF"/>
            <w:tcMar>
              <w:top w:w="86" w:type="dxa"/>
              <w:left w:w="54" w:type="dxa"/>
              <w:bottom w:w="86" w:type="dxa"/>
              <w:right w:w="107" w:type="dxa"/>
            </w:tcMar>
            <w:hideMark/>
          </w:tcPr>
          <w:p w:rsidR="0037777F" w:rsidRPr="00134887" w:rsidRDefault="006336FB" w:rsidP="0037777F">
            <w:pPr>
              <w:spacing w:before="215" w:after="75" w:line="0" w:lineRule="atLeast"/>
              <w:jc w:val="both"/>
              <w:outlineLvl w:val="1"/>
              <w:rPr>
                <w:rFonts w:ascii="Rupee Foradian" w:eastAsia="Times New Roman" w:hAnsi="Rupee Foradian" w:cs="Arial"/>
                <w:color w:val="333399"/>
                <w:sz w:val="20"/>
              </w:rPr>
            </w:pPr>
            <w:r w:rsidRPr="00134887">
              <w:rPr>
                <w:rFonts w:ascii="Rupee Foradian" w:eastAsia="Times New Roman" w:hAnsi="Rupee Foradian" w:cs="Arial"/>
                <w:b/>
                <w:bCs/>
                <w:color w:val="333399"/>
                <w:sz w:val="20"/>
                <w:u w:val="single"/>
              </w:rPr>
              <w:lastRenderedPageBreak/>
              <w:t>Rating of MFIs</w:t>
            </w:r>
          </w:p>
        </w:tc>
      </w:tr>
      <w:tr w:rsidR="0037777F" w:rsidRPr="00134887" w:rsidTr="0037777F">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C070F8" w:rsidRPr="00134887" w:rsidRDefault="006336FB" w:rsidP="00134887">
            <w:pPr>
              <w:spacing w:after="0"/>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Most micro finance programmes were initially operated by NGOs and were not subjected to regulation and supervision as they were registered as Societies or Trusts. Non-regulation of these institutions worked to their detriment and these institutions were not able to have smooth access to funds from the financial sector which was wary of lending to such entities. This constraint, coupled with the  inability to offer collateral security, stood as a bottleneck for the sector to access  formal credit. With a view to upscale the flow of micro credit with enabling policy modifications relating to simplification of the procedures in </w:t>
            </w:r>
            <w:proofErr w:type="spellStart"/>
            <w:r w:rsidRPr="00134887">
              <w:rPr>
                <w:rFonts w:ascii="Rupee Foradian" w:eastAsia="Times New Roman" w:hAnsi="Rupee Foradian" w:cs="Arial"/>
                <w:color w:val="333333"/>
                <w:sz w:val="20"/>
              </w:rPr>
              <w:t>availment</w:t>
            </w:r>
            <w:proofErr w:type="spellEnd"/>
            <w:r w:rsidRPr="00134887">
              <w:rPr>
                <w:rFonts w:ascii="Rupee Foradian" w:eastAsia="Times New Roman" w:hAnsi="Rupee Foradian" w:cs="Arial"/>
                <w:color w:val="333333"/>
                <w:sz w:val="20"/>
              </w:rPr>
              <w:t xml:space="preserve"> of assistance and substantial relaxation in the security/ collateral requirement, SIDBI pioneered the concept of Capacity Assessment Rating (CAR). The MFI rating tool on various parameters, that has become an industry- standard, put the </w:t>
            </w:r>
            <w:proofErr w:type="gramStart"/>
            <w:r w:rsidRPr="00134887">
              <w:rPr>
                <w:rFonts w:ascii="Rupee Foradian" w:eastAsia="Times New Roman" w:hAnsi="Rupee Foradian" w:cs="Arial"/>
                <w:color w:val="333333"/>
                <w:sz w:val="20"/>
              </w:rPr>
              <w:t>much needed</w:t>
            </w:r>
            <w:proofErr w:type="gramEnd"/>
            <w:r w:rsidRPr="00134887">
              <w:rPr>
                <w:rFonts w:ascii="Rupee Foradian" w:eastAsia="Times New Roman" w:hAnsi="Rupee Foradian" w:cs="Arial"/>
                <w:color w:val="333333"/>
                <w:sz w:val="20"/>
              </w:rPr>
              <w:t xml:space="preserve"> checks in place to assess risk perception of MFIs and is used as proxy for Bank Loan Ratings.</w:t>
            </w:r>
            <w:r w:rsidRPr="00134887">
              <w:rPr>
                <w:rFonts w:ascii="Rupee Foradian" w:eastAsia="Times New Roman" w:hAnsi="Rupee Foradian" w:cs="Arial"/>
                <w:color w:val="FF0000"/>
                <w:sz w:val="20"/>
              </w:rPr>
              <w:t xml:space="preserve"> </w:t>
            </w:r>
            <w:r w:rsidRPr="00134887">
              <w:rPr>
                <w:rFonts w:ascii="Rupee Foradian" w:eastAsia="Times New Roman" w:hAnsi="Rupee Foradian" w:cs="Arial"/>
                <w:color w:val="333333"/>
                <w:sz w:val="20"/>
              </w:rPr>
              <w:t xml:space="preserve">On </w:t>
            </w:r>
            <w:r w:rsidR="00DC3CEB">
              <w:rPr>
                <w:rFonts w:ascii="Rupee Foradian" w:eastAsia="Times New Roman" w:hAnsi="Rupee Foradian" w:cs="Arial"/>
                <w:color w:val="333333"/>
                <w:sz w:val="20"/>
              </w:rPr>
              <w:t>SIDBI</w:t>
            </w:r>
            <w:r w:rsidRPr="00134887">
              <w:rPr>
                <w:rFonts w:ascii="Rupee Foradian" w:eastAsia="Times New Roman" w:hAnsi="Rupee Foradian" w:cs="Arial"/>
                <w:color w:val="333333"/>
                <w:sz w:val="20"/>
              </w:rPr>
              <w:t xml:space="preserve"> initiative, rating of MFIs was started and with ripening of the sector, most of the informal NGOs accepted the rating mechanism  and initiated the process to  transform themselves into for profit entities/formal NBFCs. Rating of MFIs has gained sector-wide acceptance and has become a pre requisite for getting assistance from the banks/ financial institutions.</w:t>
            </w:r>
          </w:p>
        </w:tc>
      </w:tr>
      <w:tr w:rsidR="00445B1C" w:rsidRPr="00134887" w:rsidTr="00445B1C">
        <w:tc>
          <w:tcPr>
            <w:tcW w:w="5000" w:type="pct"/>
            <w:tcBorders>
              <w:top w:val="nil"/>
              <w:left w:val="nil"/>
              <w:bottom w:val="single" w:sz="4" w:space="0" w:color="CCCCCC"/>
              <w:right w:val="single" w:sz="4" w:space="0" w:color="CCCCCC"/>
            </w:tcBorders>
            <w:shd w:val="clear" w:color="auto" w:fill="FFFFFF" w:themeFill="background1"/>
            <w:tcMar>
              <w:top w:w="86" w:type="dxa"/>
              <w:left w:w="54" w:type="dxa"/>
              <w:bottom w:w="86" w:type="dxa"/>
              <w:right w:w="107" w:type="dxa"/>
            </w:tcMar>
            <w:hideMark/>
          </w:tcPr>
          <w:p w:rsidR="00445B1C" w:rsidRPr="00134887" w:rsidRDefault="006336FB" w:rsidP="00445B1C">
            <w:pPr>
              <w:autoSpaceDE w:val="0"/>
              <w:autoSpaceDN w:val="0"/>
              <w:adjustRightInd w:val="0"/>
              <w:spacing w:after="0"/>
              <w:jc w:val="both"/>
              <w:rPr>
                <w:rFonts w:ascii="Rupee Foradian" w:eastAsia="Times New Roman" w:hAnsi="Rupee Foradian" w:cs="Arial"/>
                <w:color w:val="333333"/>
                <w:sz w:val="20"/>
              </w:rPr>
            </w:pPr>
            <w:r w:rsidRPr="00134887">
              <w:rPr>
                <w:rFonts w:ascii="Rupee Foradian" w:eastAsia="Times New Roman" w:hAnsi="Rupee Foradian" w:cs="Arial"/>
                <w:b/>
                <w:bCs/>
                <w:color w:val="333399"/>
                <w:sz w:val="20"/>
                <w:u w:val="single"/>
              </w:rPr>
              <w:t>Responsible Finance Initiatives</w:t>
            </w:r>
          </w:p>
        </w:tc>
      </w:tr>
      <w:tr w:rsidR="00445B1C" w:rsidRPr="00134887" w:rsidTr="00445B1C">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445B1C" w:rsidRPr="00134887" w:rsidRDefault="006336FB" w:rsidP="00445B1C">
            <w:pPr>
              <w:autoSpaceDE w:val="0"/>
              <w:autoSpaceDN w:val="0"/>
              <w:adjustRightInd w:val="0"/>
              <w:spacing w:after="0"/>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SIDBI implemented a World Bank funded “Scaling Up Sustainable and Responsible Microfinance Project” aimed at scaling up access to sustainable microfinance services to the financially excluded, particularly in under-served areas of India, through, among </w:t>
            </w:r>
            <w:r w:rsidRPr="00134887">
              <w:rPr>
                <w:rFonts w:ascii="Rupee Foradian" w:eastAsia="Times New Roman" w:hAnsi="Rupee Foradian" w:cs="Arial"/>
                <w:color w:val="333333"/>
                <w:sz w:val="20"/>
              </w:rPr>
              <w:lastRenderedPageBreak/>
              <w:t>other things, introduction of innovative financial products and fostering transparency and responsible finance.</w:t>
            </w:r>
          </w:p>
          <w:p w:rsidR="00445B1C" w:rsidRPr="00134887" w:rsidRDefault="00445B1C" w:rsidP="00445B1C">
            <w:pPr>
              <w:spacing w:after="0" w:line="224" w:lineRule="atLeast"/>
              <w:jc w:val="both"/>
              <w:rPr>
                <w:rFonts w:ascii="Rupee Foradian" w:eastAsia="Times New Roman" w:hAnsi="Rupee Foradian" w:cs="Arial"/>
                <w:color w:val="333333"/>
                <w:sz w:val="20"/>
              </w:rPr>
            </w:pPr>
          </w:p>
          <w:p w:rsidR="00445B1C" w:rsidRPr="00134887" w:rsidRDefault="006336FB" w:rsidP="00445B1C">
            <w:pPr>
              <w:spacing w:after="0" w:line="224" w:lineRule="atLeast"/>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SIDBI has been playing a pro-active role in propagating Responsible Finance in the MFI sector. The major initiatives taken by SIDBI in the field of Responsible Finance Practices are –</w:t>
            </w:r>
          </w:p>
          <w:p w:rsidR="00445B1C" w:rsidRPr="00134887" w:rsidRDefault="006336FB" w:rsidP="00445B1C">
            <w:pPr>
              <w:pStyle w:val="ListParagraph"/>
              <w:numPr>
                <w:ilvl w:val="0"/>
                <w:numId w:val="5"/>
              </w:numPr>
              <w:spacing w:after="0" w:line="360" w:lineRule="atLeast"/>
              <w:rPr>
                <w:rFonts w:ascii="Rupee Foradian" w:eastAsia="Times New Roman" w:hAnsi="Rupee Foradian" w:cs="Arial"/>
                <w:color w:val="333333"/>
                <w:sz w:val="20"/>
              </w:rPr>
            </w:pPr>
            <w:r w:rsidRPr="00134887">
              <w:rPr>
                <w:rFonts w:ascii="Rupee Foradian" w:eastAsia="Times New Roman" w:hAnsi="Rupee Foradian" w:cs="Arial"/>
                <w:color w:val="333333"/>
                <w:sz w:val="20"/>
              </w:rPr>
              <w:t>Creation of a Lenders’ Forum</w:t>
            </w:r>
          </w:p>
          <w:p w:rsidR="00C070F8" w:rsidRPr="00134887" w:rsidRDefault="00C070F8" w:rsidP="00445B1C">
            <w:pPr>
              <w:pStyle w:val="ListParagraph"/>
              <w:numPr>
                <w:ilvl w:val="0"/>
                <w:numId w:val="5"/>
              </w:numPr>
              <w:spacing w:after="0" w:line="360" w:lineRule="atLeast"/>
              <w:rPr>
                <w:rFonts w:ascii="Rupee Foradian" w:eastAsia="Times New Roman" w:hAnsi="Rupee Foradian" w:cs="Arial"/>
                <w:color w:val="333333"/>
                <w:sz w:val="20"/>
              </w:rPr>
            </w:pPr>
            <w:r w:rsidRPr="00134887">
              <w:rPr>
                <w:rFonts w:ascii="Rupee Foradian" w:eastAsia="Times New Roman" w:hAnsi="Rupee Foradian" w:cs="Arial"/>
                <w:color w:val="333333"/>
                <w:sz w:val="20"/>
              </w:rPr>
              <w:t>Facilitating Development of a common code of conduct for the MFIs and ensuring adherence thereof through COCA exercise by accredited third party agencies.</w:t>
            </w:r>
          </w:p>
          <w:p w:rsidR="00445B1C" w:rsidRPr="00134887" w:rsidRDefault="006336FB" w:rsidP="00445B1C">
            <w:pPr>
              <w:pStyle w:val="ListParagraph"/>
              <w:numPr>
                <w:ilvl w:val="0"/>
                <w:numId w:val="5"/>
              </w:numPr>
              <w:spacing w:after="0" w:line="360" w:lineRule="atLeast"/>
              <w:rPr>
                <w:rFonts w:ascii="Rupee Foradian" w:eastAsia="Times New Roman" w:hAnsi="Rupee Foradian" w:cs="Arial"/>
                <w:color w:val="333333"/>
                <w:sz w:val="20"/>
              </w:rPr>
            </w:pPr>
            <w:r w:rsidRPr="00134887">
              <w:rPr>
                <w:rFonts w:ascii="Rupee Foradian" w:eastAsia="Times New Roman" w:hAnsi="Rupee Foradian" w:cs="Arial"/>
                <w:color w:val="333333"/>
                <w:sz w:val="20"/>
              </w:rPr>
              <w:t>Laying down standards for the sector through measures like concept of risk rating, portfolio audits, system audits, etc.</w:t>
            </w:r>
          </w:p>
          <w:p w:rsidR="00445B1C" w:rsidRPr="00134887" w:rsidRDefault="006336FB" w:rsidP="00445B1C">
            <w:pPr>
              <w:pStyle w:val="ListParagraph"/>
              <w:numPr>
                <w:ilvl w:val="0"/>
                <w:numId w:val="5"/>
              </w:numPr>
              <w:spacing w:after="0" w:line="360" w:lineRule="atLeast"/>
              <w:rPr>
                <w:rFonts w:ascii="Rupee Foradian" w:eastAsia="Times New Roman" w:hAnsi="Rupee Foradian" w:cs="Arial"/>
                <w:color w:val="333333"/>
                <w:sz w:val="20"/>
              </w:rPr>
            </w:pPr>
            <w:r w:rsidRPr="00134887">
              <w:rPr>
                <w:rFonts w:ascii="Rupee Foradian" w:eastAsia="Times New Roman" w:hAnsi="Rupee Foradian" w:cs="Arial"/>
                <w:color w:val="333333"/>
                <w:sz w:val="20"/>
              </w:rPr>
              <w:t>Carrying out Sectoral Studies/ Impact Studies</w:t>
            </w:r>
          </w:p>
          <w:p w:rsidR="00445B1C" w:rsidRPr="00134887" w:rsidRDefault="006336FB">
            <w:pPr>
              <w:pStyle w:val="ListParagraph"/>
              <w:numPr>
                <w:ilvl w:val="0"/>
                <w:numId w:val="5"/>
              </w:numPr>
              <w:spacing w:after="0" w:line="360" w:lineRule="atLeast"/>
              <w:rPr>
                <w:rFonts w:ascii="Rupee Foradian" w:eastAsia="Times New Roman" w:hAnsi="Rupee Foradian" w:cs="Arial"/>
                <w:color w:val="333333"/>
                <w:sz w:val="20"/>
              </w:rPr>
            </w:pPr>
            <w:r w:rsidRPr="00134887">
              <w:rPr>
                <w:rFonts w:ascii="Rupee Foradian" w:eastAsia="Times New Roman" w:hAnsi="Rupee Foradian" w:cs="Arial"/>
                <w:color w:val="333333"/>
                <w:sz w:val="20"/>
              </w:rPr>
              <w:t>Creating awareness about Clients’ Protection Practices</w:t>
            </w:r>
          </w:p>
        </w:tc>
      </w:tr>
      <w:tr w:rsidR="00C070F8" w:rsidRPr="00134887" w:rsidTr="00C070F8">
        <w:trPr>
          <w:trHeight w:val="436"/>
        </w:trPr>
        <w:tc>
          <w:tcPr>
            <w:tcW w:w="5000" w:type="pct"/>
            <w:tcBorders>
              <w:top w:val="nil"/>
              <w:left w:val="nil"/>
              <w:bottom w:val="single" w:sz="4" w:space="0" w:color="CCCCCC"/>
              <w:right w:val="single" w:sz="4" w:space="0" w:color="CCCCCC"/>
            </w:tcBorders>
            <w:shd w:val="clear" w:color="auto" w:fill="FFFFFF"/>
            <w:tcMar>
              <w:top w:w="86" w:type="dxa"/>
              <w:left w:w="54" w:type="dxa"/>
              <w:bottom w:w="86" w:type="dxa"/>
              <w:right w:w="107" w:type="dxa"/>
            </w:tcMar>
            <w:hideMark/>
          </w:tcPr>
          <w:p w:rsidR="00C070F8" w:rsidRPr="00134887" w:rsidRDefault="00C070F8" w:rsidP="00C070F8">
            <w:pPr>
              <w:spacing w:before="215" w:after="75" w:line="0" w:lineRule="atLeast"/>
              <w:jc w:val="both"/>
              <w:outlineLvl w:val="1"/>
              <w:rPr>
                <w:rFonts w:ascii="Rupee Foradian" w:eastAsia="Times New Roman" w:hAnsi="Rupee Foradian" w:cs="Arial"/>
                <w:color w:val="333399"/>
                <w:sz w:val="20"/>
              </w:rPr>
            </w:pPr>
            <w:r w:rsidRPr="00134887">
              <w:rPr>
                <w:rFonts w:ascii="Rupee Foradian" w:eastAsia="Times New Roman" w:hAnsi="Rupee Foradian" w:cs="Arial"/>
                <w:b/>
                <w:bCs/>
                <w:color w:val="333399"/>
                <w:sz w:val="20"/>
                <w:u w:val="single"/>
              </w:rPr>
              <w:lastRenderedPageBreak/>
              <w:t>Lender’s  Forum</w:t>
            </w:r>
          </w:p>
        </w:tc>
      </w:tr>
      <w:tr w:rsidR="00C070F8" w:rsidRPr="00134887" w:rsidTr="00C070F8">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C070F8" w:rsidRPr="00134887" w:rsidRDefault="00C070F8" w:rsidP="00C070F8">
            <w:pPr>
              <w:autoSpaceDE w:val="0"/>
              <w:autoSpaceDN w:val="0"/>
              <w:adjustRightInd w:val="0"/>
              <w:spacing w:after="0" w:line="240" w:lineRule="auto"/>
              <w:ind w:left="357"/>
              <w:jc w:val="both"/>
              <w:rPr>
                <w:rFonts w:ascii="Rupee Foradian" w:hAnsi="Rupee Foradian"/>
                <w:sz w:val="24"/>
                <w:szCs w:val="24"/>
              </w:rPr>
            </w:pPr>
          </w:p>
          <w:p w:rsidR="00C070F8" w:rsidRPr="00134887" w:rsidRDefault="00C070F8">
            <w:pPr>
              <w:spacing w:after="0"/>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As part of its responsible finance initiative, </w:t>
            </w:r>
            <w:r w:rsidR="00DC3CEB">
              <w:rPr>
                <w:rFonts w:ascii="Rupee Foradian" w:eastAsia="Times New Roman" w:hAnsi="Rupee Foradian" w:cs="Arial"/>
                <w:color w:val="333333"/>
                <w:sz w:val="20"/>
              </w:rPr>
              <w:t>SIDBI</w:t>
            </w:r>
            <w:r w:rsidRPr="00134887">
              <w:rPr>
                <w:rFonts w:ascii="Rupee Foradian" w:eastAsia="Times New Roman" w:hAnsi="Rupee Foradian" w:cs="Arial"/>
                <w:color w:val="333333"/>
                <w:sz w:val="20"/>
              </w:rPr>
              <w:t xml:space="preserve"> has facilitated Lenders’ Forum comprising key MFI Funders with a view to promoting cooperation and responsible lending practices among MFI lenders for leveraging support to MFIs across all the stakeholders. All the major lenders of MFIs have agreed to work together to impress upon the MFIs to implement them through a common set of loan covenants. Banks have also agreed to strictly examine and continuously monitor field level practices of their assisted MFIs like adherence to KYC norms, etc. 11 meetings of the Forum have been conducted so far.</w:t>
            </w:r>
          </w:p>
        </w:tc>
      </w:tr>
      <w:tr w:rsidR="0037777F" w:rsidRPr="00134887" w:rsidTr="00134887">
        <w:trPr>
          <w:trHeight w:val="436"/>
        </w:trPr>
        <w:tc>
          <w:tcPr>
            <w:tcW w:w="5000" w:type="pct"/>
            <w:tcBorders>
              <w:top w:val="nil"/>
              <w:left w:val="nil"/>
              <w:bottom w:val="single" w:sz="4" w:space="0" w:color="CCCCCC"/>
              <w:right w:val="single" w:sz="4" w:space="0" w:color="CCCCCC"/>
            </w:tcBorders>
            <w:shd w:val="clear" w:color="auto" w:fill="FFFFFF"/>
            <w:tcMar>
              <w:top w:w="86" w:type="dxa"/>
              <w:left w:w="54" w:type="dxa"/>
              <w:bottom w:w="86" w:type="dxa"/>
              <w:right w:w="107" w:type="dxa"/>
            </w:tcMar>
            <w:hideMark/>
          </w:tcPr>
          <w:p w:rsidR="0037777F" w:rsidRPr="00134887" w:rsidRDefault="006336FB" w:rsidP="0037777F">
            <w:pPr>
              <w:spacing w:before="215" w:after="75" w:line="0" w:lineRule="atLeast"/>
              <w:jc w:val="both"/>
              <w:outlineLvl w:val="1"/>
              <w:rPr>
                <w:rFonts w:ascii="Rupee Foradian" w:eastAsia="Times New Roman" w:hAnsi="Rupee Foradian" w:cs="Arial"/>
                <w:color w:val="333399"/>
                <w:sz w:val="20"/>
              </w:rPr>
            </w:pPr>
            <w:r w:rsidRPr="00134887">
              <w:rPr>
                <w:rFonts w:ascii="Rupee Foradian" w:eastAsia="Times New Roman" w:hAnsi="Rupee Foradian" w:cs="Arial"/>
                <w:b/>
                <w:bCs/>
                <w:color w:val="333399"/>
                <w:sz w:val="20"/>
                <w:u w:val="single"/>
              </w:rPr>
              <w:t>Code of Conduct Assessments (COCA)</w:t>
            </w:r>
          </w:p>
        </w:tc>
      </w:tr>
      <w:tr w:rsidR="0037777F" w:rsidRPr="00134887" w:rsidTr="0037777F">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C070F8" w:rsidRPr="00134887" w:rsidRDefault="006336FB" w:rsidP="00134887">
            <w:pPr>
              <w:pStyle w:val="DefaultText"/>
              <w:tabs>
                <w:tab w:val="left" w:pos="1170"/>
              </w:tabs>
              <w:autoSpaceDE/>
              <w:autoSpaceDN/>
              <w:adjustRightInd/>
              <w:ind w:left="0" w:firstLine="0"/>
              <w:jc w:val="both"/>
              <w:rPr>
                <w:rFonts w:ascii="Rupee Foradian" w:hAnsi="Rupee Foradian" w:cs="Arial"/>
                <w:color w:val="333333"/>
                <w:sz w:val="20"/>
                <w:szCs w:val="20"/>
              </w:rPr>
            </w:pPr>
            <w:r w:rsidRPr="00134887">
              <w:rPr>
                <w:rFonts w:ascii="Rupee Foradian" w:hAnsi="Rupee Foradian" w:cs="Arial"/>
                <w:color w:val="333333"/>
                <w:sz w:val="20"/>
                <w:szCs w:val="20"/>
                <w:lang w:bidi="hi-IN"/>
              </w:rPr>
              <w:t>Under the World Bank project, one of the initiatives undertaken towards responsible finance practices was development of Code of Conduct Assessment (COCA) of MFIs. COCA measures MFIs’ adherence to ethical and sound practices that enable an MFI to maintain good relationship not only with the clients but also with all other stakeholders in the sector. COCA reports provide a fair assessment of adherence to the various Code of Conduct dimensions. Code of Conduct Assessment (COCA) is basically a third party independent assessment of the status of compliance of an MFI with the Common Code of Conduct.</w:t>
            </w:r>
            <w:r w:rsidRPr="00134887">
              <w:rPr>
                <w:rFonts w:ascii="Rupee Foradian" w:hAnsi="Rupee Foradian" w:cs="Arial"/>
                <w:color w:val="000000"/>
                <w:sz w:val="20"/>
                <w:szCs w:val="20"/>
              </w:rPr>
              <w:t xml:space="preserve"> </w:t>
            </w:r>
          </w:p>
          <w:p w:rsidR="00C070F8" w:rsidRPr="00134887" w:rsidRDefault="00C070F8" w:rsidP="00134887">
            <w:pPr>
              <w:spacing w:after="0"/>
              <w:jc w:val="both"/>
              <w:rPr>
                <w:rFonts w:ascii="Rupee Foradian" w:eastAsia="Times New Roman" w:hAnsi="Rupee Foradian" w:cs="Arial"/>
                <w:color w:val="333333"/>
                <w:sz w:val="20"/>
              </w:rPr>
            </w:pPr>
          </w:p>
          <w:p w:rsidR="00C070F8" w:rsidRPr="00134887" w:rsidRDefault="006336FB" w:rsidP="00134887">
            <w:pPr>
              <w:spacing w:after="0"/>
              <w:jc w:val="both"/>
              <w:rPr>
                <w:rFonts w:ascii="Rupee Foradian" w:eastAsia="Times New Roman" w:hAnsi="Rupee Foradian" w:cs="Arial"/>
                <w:color w:val="333333"/>
                <w:sz w:val="20"/>
              </w:rPr>
            </w:pPr>
            <w:r w:rsidRPr="00134887">
              <w:rPr>
                <w:rFonts w:ascii="Rupee Foradian" w:eastAsia="Times New Roman" w:hAnsi="Rupee Foradian" w:cs="Arial"/>
                <w:color w:val="333333"/>
                <w:sz w:val="20"/>
              </w:rPr>
              <w:t xml:space="preserve">SIDBI has  helped to develop a Code of Conduct Assessment Tool, which applies to providing credit services, recovery of credit, collection of thrift, etc., for MFIs to assess their degree of adherence to the voluntary microfinance Code of Conduct. 75 COCA have since been completed in Phase I. </w:t>
            </w:r>
          </w:p>
        </w:tc>
      </w:tr>
      <w:tr w:rsidR="00C070F8" w:rsidRPr="00134887" w:rsidTr="00C070F8">
        <w:trPr>
          <w:trHeight w:val="436"/>
        </w:trPr>
        <w:tc>
          <w:tcPr>
            <w:tcW w:w="5000" w:type="pct"/>
            <w:tcBorders>
              <w:top w:val="nil"/>
              <w:left w:val="nil"/>
              <w:bottom w:val="single" w:sz="4" w:space="0" w:color="CCCCCC"/>
              <w:right w:val="single" w:sz="4" w:space="0" w:color="CCCCCC"/>
            </w:tcBorders>
            <w:shd w:val="clear" w:color="auto" w:fill="FFFFFF"/>
            <w:tcMar>
              <w:top w:w="86" w:type="dxa"/>
              <w:left w:w="54" w:type="dxa"/>
              <w:bottom w:w="86" w:type="dxa"/>
              <w:right w:w="107" w:type="dxa"/>
            </w:tcMar>
            <w:hideMark/>
          </w:tcPr>
          <w:p w:rsidR="00C070F8" w:rsidRPr="00134887" w:rsidRDefault="00C070F8" w:rsidP="00C070F8">
            <w:pPr>
              <w:spacing w:after="75" w:line="0" w:lineRule="atLeast"/>
              <w:jc w:val="both"/>
              <w:outlineLvl w:val="1"/>
              <w:rPr>
                <w:rFonts w:ascii="Rupee Foradian" w:eastAsia="Times New Roman" w:hAnsi="Rupee Foradian" w:cs="Arial"/>
                <w:color w:val="333399"/>
                <w:sz w:val="20"/>
              </w:rPr>
            </w:pPr>
            <w:proofErr w:type="spellStart"/>
            <w:r w:rsidRPr="00134887">
              <w:rPr>
                <w:rFonts w:ascii="Rupee Foradian" w:eastAsia="Times New Roman" w:hAnsi="Rupee Foradian" w:cs="Arial"/>
                <w:b/>
                <w:bCs/>
                <w:color w:val="333399"/>
                <w:sz w:val="20"/>
                <w:u w:val="single"/>
              </w:rPr>
              <w:t>Harmonised</w:t>
            </w:r>
            <w:proofErr w:type="spellEnd"/>
            <w:r w:rsidRPr="00134887">
              <w:rPr>
                <w:rFonts w:ascii="Rupee Foradian" w:eastAsia="Times New Roman" w:hAnsi="Rupee Foradian" w:cs="Arial"/>
                <w:b/>
                <w:bCs/>
                <w:color w:val="333399"/>
                <w:sz w:val="20"/>
                <w:u w:val="single"/>
              </w:rPr>
              <w:t xml:space="preserve"> Code of Conduct Assessments Tool (HCT)</w:t>
            </w:r>
          </w:p>
        </w:tc>
      </w:tr>
      <w:tr w:rsidR="00C070F8" w:rsidRPr="00134887" w:rsidTr="00C070F8">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C070F8" w:rsidRPr="00134887" w:rsidRDefault="00C070F8" w:rsidP="00C070F8">
            <w:pPr>
              <w:spacing w:after="0"/>
              <w:jc w:val="both"/>
              <w:rPr>
                <w:rFonts w:ascii="Rupee Foradian" w:eastAsia="Times New Roman" w:hAnsi="Rupee Foradian" w:cs="Arial"/>
                <w:color w:val="333333"/>
                <w:sz w:val="20"/>
              </w:rPr>
            </w:pPr>
            <w:r w:rsidRPr="00134887">
              <w:rPr>
                <w:rFonts w:ascii="Rupee Foradian" w:hAnsi="Rupee Foradian" w:cs="Arial"/>
                <w:color w:val="58595B"/>
                <w:sz w:val="20"/>
              </w:rPr>
              <w:lastRenderedPageBreak/>
              <w:t>Based on the learnings of the phase-I and the discussions with other stakeholders/lenders in the 10th Lenders’ Forum meeting, a need was felt to harmonize the COCA tool to make the assessments by various COCA conducting agencies more comparable and also to achieve standardization of the tool. Accordingly, SIDBI developed, piloted and rolled out a Harmonized COCA Tool (HCT) in consultation with other stakeholders. The tool is primarily based on the joint COC issued by MFIN and Sa-</w:t>
            </w:r>
            <w:proofErr w:type="spellStart"/>
            <w:r w:rsidRPr="00134887">
              <w:rPr>
                <w:rFonts w:ascii="Rupee Foradian" w:hAnsi="Rupee Foradian" w:cs="Arial"/>
                <w:color w:val="58595B"/>
                <w:sz w:val="20"/>
              </w:rPr>
              <w:t>Dhan</w:t>
            </w:r>
            <w:proofErr w:type="spellEnd"/>
            <w:r w:rsidRPr="00134887">
              <w:rPr>
                <w:rFonts w:ascii="Rupee Foradian" w:hAnsi="Rupee Foradian" w:cs="Arial"/>
                <w:color w:val="58595B"/>
                <w:sz w:val="20"/>
              </w:rPr>
              <w:t xml:space="preserve">, RBI fair practice code and Smart Campaign’s client protection Principle etc. The HCT involves total of 251 indicators covering 9 dimensions, viz. Integrity and Ethical </w:t>
            </w:r>
            <w:proofErr w:type="spellStart"/>
            <w:r w:rsidRPr="00134887">
              <w:rPr>
                <w:rFonts w:ascii="Rupee Foradian" w:hAnsi="Rupee Foradian" w:cs="Arial"/>
                <w:color w:val="58595B"/>
                <w:sz w:val="20"/>
              </w:rPr>
              <w:t>Behaviour</w:t>
            </w:r>
            <w:proofErr w:type="spellEnd"/>
            <w:r w:rsidRPr="00134887">
              <w:rPr>
                <w:rFonts w:ascii="Rupee Foradian" w:hAnsi="Rupee Foradian" w:cs="Arial"/>
                <w:color w:val="58595B"/>
                <w:sz w:val="20"/>
              </w:rPr>
              <w:t xml:space="preserve">, Sensitive indicator, Transparency, Client Protection, Governance, Recruitment, Client Education, Feedback and Grievance Redressal and Data Sharing. </w:t>
            </w:r>
            <w:proofErr w:type="spellStart"/>
            <w:r w:rsidRPr="00134887">
              <w:rPr>
                <w:rFonts w:ascii="Rupee Foradian" w:hAnsi="Rupee Foradian" w:cs="Arial"/>
                <w:color w:val="58595B"/>
                <w:sz w:val="20"/>
              </w:rPr>
              <w:t>Harmonised</w:t>
            </w:r>
            <w:proofErr w:type="spellEnd"/>
            <w:r w:rsidRPr="00134887">
              <w:rPr>
                <w:rFonts w:ascii="Rupee Foradian" w:hAnsi="Rupee Foradian" w:cs="Arial"/>
                <w:color w:val="58595B"/>
                <w:sz w:val="20"/>
              </w:rPr>
              <w:t xml:space="preserve"> COCA of 34 MFIs have since been completed. All the reports are hosted on SIDBI website.</w:t>
            </w:r>
          </w:p>
        </w:tc>
      </w:tr>
      <w:tr w:rsidR="002C3275" w:rsidRPr="00134887" w:rsidTr="002C3275">
        <w:tc>
          <w:tcPr>
            <w:tcW w:w="5000" w:type="pct"/>
            <w:tcBorders>
              <w:top w:val="nil"/>
              <w:left w:val="nil"/>
              <w:bottom w:val="single" w:sz="4" w:space="0" w:color="CCCCCC"/>
              <w:right w:val="single" w:sz="4" w:space="0" w:color="CCCCCC"/>
            </w:tcBorders>
            <w:shd w:val="clear" w:color="auto" w:fill="FFFFFF" w:themeFill="background1"/>
            <w:tcMar>
              <w:top w:w="86" w:type="dxa"/>
              <w:left w:w="54" w:type="dxa"/>
              <w:bottom w:w="86" w:type="dxa"/>
              <w:right w:w="107" w:type="dxa"/>
            </w:tcMar>
            <w:hideMark/>
          </w:tcPr>
          <w:p w:rsidR="002C3275" w:rsidRPr="00134887" w:rsidRDefault="006336FB" w:rsidP="002C3275">
            <w:pPr>
              <w:spacing w:before="215" w:after="75" w:line="0" w:lineRule="atLeast"/>
              <w:jc w:val="both"/>
              <w:outlineLvl w:val="1"/>
              <w:rPr>
                <w:rFonts w:ascii="Rupee Foradian" w:eastAsia="Times New Roman" w:hAnsi="Rupee Foradian" w:cs="Arial"/>
                <w:color w:val="333333"/>
                <w:sz w:val="20"/>
              </w:rPr>
            </w:pPr>
            <w:r w:rsidRPr="00134887">
              <w:rPr>
                <w:rFonts w:ascii="Rupee Foradian" w:eastAsia="Times New Roman" w:hAnsi="Rupee Foradian" w:cs="Arial"/>
                <w:b/>
                <w:bCs/>
                <w:color w:val="333399"/>
                <w:sz w:val="20"/>
                <w:u w:val="single"/>
              </w:rPr>
              <w:t>DFLP (Digital Financial Literacy Prog)</w:t>
            </w:r>
          </w:p>
        </w:tc>
      </w:tr>
      <w:tr w:rsidR="002C3275" w:rsidRPr="00134887" w:rsidTr="002C3275">
        <w:tc>
          <w:tcPr>
            <w:tcW w:w="5000" w:type="pct"/>
            <w:tcBorders>
              <w:top w:val="nil"/>
              <w:left w:val="nil"/>
              <w:bottom w:val="single" w:sz="4" w:space="0" w:color="CCCCCC"/>
              <w:right w:val="single" w:sz="4" w:space="0" w:color="CCCCCC"/>
            </w:tcBorders>
            <w:shd w:val="clear" w:color="auto" w:fill="F9F9F9"/>
            <w:tcMar>
              <w:top w:w="86" w:type="dxa"/>
              <w:left w:w="54" w:type="dxa"/>
              <w:bottom w:w="86" w:type="dxa"/>
              <w:right w:w="107" w:type="dxa"/>
            </w:tcMar>
            <w:hideMark/>
          </w:tcPr>
          <w:p w:rsidR="002C3275" w:rsidRPr="00134887" w:rsidRDefault="006336FB" w:rsidP="002C3275">
            <w:pPr>
              <w:spacing w:after="75" w:line="0" w:lineRule="atLeast"/>
              <w:jc w:val="both"/>
              <w:outlineLvl w:val="1"/>
              <w:rPr>
                <w:rFonts w:ascii="Rupee Foradian" w:eastAsia="Times New Roman" w:hAnsi="Rupee Foradian" w:cs="Arial"/>
                <w:color w:val="333333"/>
                <w:sz w:val="20"/>
              </w:rPr>
            </w:pPr>
            <w:r w:rsidRPr="00134887">
              <w:rPr>
                <w:rFonts w:ascii="Rupee Foradian" w:hAnsi="Rupee Foradian" w:cs="Arial"/>
                <w:color w:val="58595B"/>
                <w:sz w:val="20"/>
              </w:rPr>
              <w:t xml:space="preserve">To  promote  digitization, </w:t>
            </w:r>
            <w:r w:rsidR="00DC3CEB">
              <w:rPr>
                <w:rFonts w:ascii="Rupee Foradian" w:eastAsia="Times New Roman" w:hAnsi="Rupee Foradian" w:cs="Arial"/>
                <w:color w:val="333333"/>
                <w:sz w:val="20"/>
              </w:rPr>
              <w:t>SIDBI</w:t>
            </w:r>
            <w:r w:rsidRPr="00134887">
              <w:rPr>
                <w:rFonts w:ascii="Rupee Foradian" w:hAnsi="Rupee Foradian" w:cs="Arial"/>
                <w:color w:val="58595B"/>
                <w:sz w:val="20"/>
              </w:rPr>
              <w:t xml:space="preserve"> has conducted 112 Digital Fin. Literacy Prog (DFLP) across 07 States encompass 107 Micro-business Clusters and able to train nearly 6500 artisans, out of which 40% were female. Around 40% women artisans are now using digital applications for financial transactions. Usage of BHIM, AEPS, *99#, USSD has gone up.</w:t>
            </w:r>
          </w:p>
        </w:tc>
      </w:tr>
    </w:tbl>
    <w:p w:rsidR="00C070F8" w:rsidRDefault="00C070F8" w:rsidP="00852FE9">
      <w:pPr>
        <w:spacing w:after="0"/>
        <w:rPr>
          <w:rFonts w:ascii="Rupee Foradian" w:hAnsi="Rupee Foradian" w:cs="Arial"/>
          <w:color w:val="333333"/>
          <w:sz w:val="20"/>
        </w:rPr>
      </w:pPr>
    </w:p>
    <w:p w:rsidR="00852FE9" w:rsidRDefault="00852FE9" w:rsidP="00852FE9">
      <w:pPr>
        <w:spacing w:after="0"/>
        <w:rPr>
          <w:rFonts w:ascii="Rupee Foradian" w:hAnsi="Rupee Foradian" w:cs="Arial"/>
          <w:color w:val="333333"/>
          <w:sz w:val="20"/>
        </w:rPr>
      </w:pPr>
    </w:p>
    <w:p w:rsidR="00852FE9" w:rsidRDefault="00852FE9" w:rsidP="00852FE9">
      <w:pPr>
        <w:spacing w:after="0"/>
        <w:rPr>
          <w:rFonts w:ascii="Rupee Foradian" w:hAnsi="Rupee Foradian" w:cs="Arial"/>
          <w:color w:val="333333"/>
          <w:sz w:val="20"/>
        </w:rPr>
      </w:pPr>
    </w:p>
    <w:p w:rsidR="00852FE9" w:rsidRDefault="00852FE9" w:rsidP="00852FE9">
      <w:pPr>
        <w:spacing w:after="0"/>
        <w:rPr>
          <w:rFonts w:ascii="Rupee Foradian" w:hAnsi="Rupee Foradian" w:cs="Arial"/>
          <w:color w:val="333333"/>
          <w:sz w:val="20"/>
        </w:rPr>
      </w:pPr>
    </w:p>
    <w:p w:rsidR="00852FE9" w:rsidRPr="00134887" w:rsidRDefault="00852FE9" w:rsidP="00852FE9">
      <w:pPr>
        <w:spacing w:after="0"/>
        <w:jc w:val="center"/>
        <w:rPr>
          <w:rFonts w:ascii="Rupee Foradian" w:hAnsi="Rupee Foradian" w:cs="Arial"/>
          <w:color w:val="333333"/>
          <w:sz w:val="20"/>
        </w:rPr>
      </w:pPr>
      <w:r>
        <w:rPr>
          <w:rFonts w:ascii="Rupee Foradian" w:hAnsi="Rupee Foradian" w:cs="Arial"/>
          <w:color w:val="333333"/>
          <w:sz w:val="20"/>
        </w:rPr>
        <w:t>********</w:t>
      </w:r>
    </w:p>
    <w:sectPr w:rsidR="00852FE9" w:rsidRPr="00134887" w:rsidSect="003003E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201B"/>
    <w:multiLevelType w:val="hybridMultilevel"/>
    <w:tmpl w:val="E10AE65A"/>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12B97"/>
    <w:multiLevelType w:val="hybridMultilevel"/>
    <w:tmpl w:val="E38E6B22"/>
    <w:lvl w:ilvl="0" w:tplc="3B86EDC2">
      <w:start w:val="2"/>
      <w:numFmt w:val="lowerRoman"/>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D4310"/>
    <w:multiLevelType w:val="multilevel"/>
    <w:tmpl w:val="04684B8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8A575B"/>
    <w:multiLevelType w:val="hybridMultilevel"/>
    <w:tmpl w:val="13A879AC"/>
    <w:lvl w:ilvl="0" w:tplc="170C762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5E56"/>
    <w:multiLevelType w:val="hybridMultilevel"/>
    <w:tmpl w:val="A9408EB0"/>
    <w:lvl w:ilvl="0" w:tplc="58B4665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D5836"/>
    <w:multiLevelType w:val="multilevel"/>
    <w:tmpl w:val="8D7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630EE1"/>
    <w:multiLevelType w:val="hybridMultilevel"/>
    <w:tmpl w:val="28780BC0"/>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F252F14"/>
    <w:multiLevelType w:val="hybridMultilevel"/>
    <w:tmpl w:val="28780B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70A09FA"/>
    <w:multiLevelType w:val="hybridMultilevel"/>
    <w:tmpl w:val="7D6C35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52492B"/>
    <w:multiLevelType w:val="hybridMultilevel"/>
    <w:tmpl w:val="921EF0F0"/>
    <w:lvl w:ilvl="0" w:tplc="83F8406C">
      <w:start w:val="1"/>
      <w:numFmt w:val="bullet"/>
      <w:lvlText w:val=""/>
      <w:lvlJc w:val="left"/>
      <w:pPr>
        <w:tabs>
          <w:tab w:val="num" w:pos="360"/>
        </w:tabs>
        <w:ind w:left="360" w:hanging="360"/>
      </w:pPr>
      <w:rPr>
        <w:rFonts w:ascii="Symbol" w:hAnsi="Symbol" w:hint="default"/>
        <w:color w:val="auto"/>
      </w:rPr>
    </w:lvl>
    <w:lvl w:ilvl="1" w:tplc="E4F07FB0"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11F83"/>
    <w:multiLevelType w:val="multilevel"/>
    <w:tmpl w:val="1A96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31578"/>
    <w:multiLevelType w:val="hybridMultilevel"/>
    <w:tmpl w:val="25BC2A54"/>
    <w:lvl w:ilvl="0" w:tplc="0409000F">
      <w:start w:val="1"/>
      <w:numFmt w:val="decimal"/>
      <w:lvlText w:val="%1."/>
      <w:lvlJc w:val="left"/>
      <w:pPr>
        <w:ind w:left="1440" w:hanging="360"/>
      </w:pPr>
    </w:lvl>
    <w:lvl w:ilvl="1" w:tplc="65F6F444">
      <w:numFmt w:val="bullet"/>
      <w:lvlText w:val="•"/>
      <w:lvlJc w:val="left"/>
      <w:pPr>
        <w:ind w:left="2160" w:hanging="360"/>
      </w:pPr>
      <w:rPr>
        <w:rFonts w:ascii="Georgia" w:eastAsia="Times New Roman" w:hAnsi="Georgia" w:cs="Arial" w:hint="default"/>
        <w:i/>
        <w:color w:val="666666"/>
        <w:sz w:val="17"/>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994017"/>
    <w:multiLevelType w:val="hybridMultilevel"/>
    <w:tmpl w:val="8F5E9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66B1F"/>
    <w:multiLevelType w:val="hybridMultilevel"/>
    <w:tmpl w:val="AEEAE1C6"/>
    <w:lvl w:ilvl="0" w:tplc="638672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3390C"/>
    <w:multiLevelType w:val="hybridMultilevel"/>
    <w:tmpl w:val="8E608CD8"/>
    <w:lvl w:ilvl="0" w:tplc="57B0862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47102"/>
    <w:multiLevelType w:val="hybridMultilevel"/>
    <w:tmpl w:val="A2E24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BE11A2"/>
    <w:multiLevelType w:val="hybridMultilevel"/>
    <w:tmpl w:val="63F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30A91"/>
    <w:multiLevelType w:val="hybridMultilevel"/>
    <w:tmpl w:val="2EF4CCA2"/>
    <w:lvl w:ilvl="0" w:tplc="B4E89810">
      <w:start w:val="1"/>
      <w:numFmt w:val="lowerRoman"/>
      <w:lvlText w:val="(%1)"/>
      <w:lvlJc w:val="left"/>
      <w:pPr>
        <w:ind w:left="1080" w:hanging="72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32D95"/>
    <w:multiLevelType w:val="hybridMultilevel"/>
    <w:tmpl w:val="B5646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03B66"/>
    <w:multiLevelType w:val="hybridMultilevel"/>
    <w:tmpl w:val="7352AA1E"/>
    <w:lvl w:ilvl="0" w:tplc="04090019">
      <w:start w:val="1"/>
      <w:numFmt w:val="lowerLetter"/>
      <w:lvlText w:val="%1."/>
      <w:lvlJc w:val="left"/>
      <w:pPr>
        <w:ind w:left="1440" w:hanging="360"/>
      </w:pPr>
    </w:lvl>
    <w:lvl w:ilvl="1" w:tplc="57B08620">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0D1FE2"/>
    <w:multiLevelType w:val="hybridMultilevel"/>
    <w:tmpl w:val="25BC2A54"/>
    <w:lvl w:ilvl="0" w:tplc="0409000F">
      <w:start w:val="1"/>
      <w:numFmt w:val="decimal"/>
      <w:lvlText w:val="%1."/>
      <w:lvlJc w:val="left"/>
      <w:pPr>
        <w:ind w:left="1440" w:hanging="360"/>
      </w:pPr>
    </w:lvl>
    <w:lvl w:ilvl="1" w:tplc="65F6F444">
      <w:numFmt w:val="bullet"/>
      <w:lvlText w:val="•"/>
      <w:lvlJc w:val="left"/>
      <w:pPr>
        <w:ind w:left="2160" w:hanging="360"/>
      </w:pPr>
      <w:rPr>
        <w:rFonts w:ascii="Georgia" w:eastAsia="Times New Roman" w:hAnsi="Georgia" w:cs="Arial" w:hint="default"/>
        <w:i/>
        <w:color w:val="666666"/>
        <w:sz w:val="17"/>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9F1633"/>
    <w:multiLevelType w:val="hybridMultilevel"/>
    <w:tmpl w:val="035416EE"/>
    <w:lvl w:ilvl="0" w:tplc="16949300">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EB2C0E"/>
    <w:multiLevelType w:val="hybridMultilevel"/>
    <w:tmpl w:val="25BC2A54"/>
    <w:lvl w:ilvl="0" w:tplc="0409000F">
      <w:start w:val="1"/>
      <w:numFmt w:val="decimal"/>
      <w:lvlText w:val="%1."/>
      <w:lvlJc w:val="left"/>
      <w:pPr>
        <w:ind w:left="1440" w:hanging="360"/>
      </w:pPr>
    </w:lvl>
    <w:lvl w:ilvl="1" w:tplc="65F6F444">
      <w:numFmt w:val="bullet"/>
      <w:lvlText w:val="•"/>
      <w:lvlJc w:val="left"/>
      <w:pPr>
        <w:ind w:left="2160" w:hanging="360"/>
      </w:pPr>
      <w:rPr>
        <w:rFonts w:ascii="Georgia" w:eastAsia="Times New Roman" w:hAnsi="Georgia" w:cs="Arial" w:hint="default"/>
        <w:i/>
        <w:color w:val="666666"/>
        <w:sz w:val="17"/>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7F2C03"/>
    <w:multiLevelType w:val="hybridMultilevel"/>
    <w:tmpl w:val="035416EE"/>
    <w:lvl w:ilvl="0" w:tplc="16949300">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4A1658"/>
    <w:multiLevelType w:val="hybridMultilevel"/>
    <w:tmpl w:val="D15675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D3C1F"/>
    <w:multiLevelType w:val="hybridMultilevel"/>
    <w:tmpl w:val="AB5462F8"/>
    <w:lvl w:ilvl="0" w:tplc="85B020E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054CF2"/>
    <w:multiLevelType w:val="hybridMultilevel"/>
    <w:tmpl w:val="25BC2A54"/>
    <w:lvl w:ilvl="0" w:tplc="0409000F">
      <w:start w:val="1"/>
      <w:numFmt w:val="decimal"/>
      <w:lvlText w:val="%1."/>
      <w:lvlJc w:val="left"/>
      <w:pPr>
        <w:ind w:left="1440" w:hanging="360"/>
      </w:pPr>
    </w:lvl>
    <w:lvl w:ilvl="1" w:tplc="65F6F444">
      <w:numFmt w:val="bullet"/>
      <w:lvlText w:val="•"/>
      <w:lvlJc w:val="left"/>
      <w:pPr>
        <w:ind w:left="2160" w:hanging="360"/>
      </w:pPr>
      <w:rPr>
        <w:rFonts w:ascii="Georgia" w:eastAsia="Times New Roman" w:hAnsi="Georgia" w:cs="Arial" w:hint="default"/>
        <w:i/>
        <w:color w:val="666666"/>
        <w:sz w:val="17"/>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411F83"/>
    <w:multiLevelType w:val="hybridMultilevel"/>
    <w:tmpl w:val="45A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91A02"/>
    <w:multiLevelType w:val="hybridMultilevel"/>
    <w:tmpl w:val="D6702F7A"/>
    <w:lvl w:ilvl="0" w:tplc="57B08620">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2422D5E"/>
    <w:multiLevelType w:val="hybridMultilevel"/>
    <w:tmpl w:val="789C681A"/>
    <w:lvl w:ilvl="0" w:tplc="3B86EDC2">
      <w:start w:val="2"/>
      <w:numFmt w:val="lowerRoman"/>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B97A77"/>
    <w:multiLevelType w:val="hybridMultilevel"/>
    <w:tmpl w:val="18F2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682B04"/>
    <w:multiLevelType w:val="hybridMultilevel"/>
    <w:tmpl w:val="F5324A06"/>
    <w:lvl w:ilvl="0" w:tplc="9714621E">
      <w:start w:val="1"/>
      <w:numFmt w:val="lowerRoman"/>
      <w:lvlText w:val="(%1)"/>
      <w:lvlJc w:val="left"/>
      <w:pPr>
        <w:ind w:left="144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7236A"/>
    <w:multiLevelType w:val="hybridMultilevel"/>
    <w:tmpl w:val="9AC4D5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6528B0"/>
    <w:multiLevelType w:val="hybridMultilevel"/>
    <w:tmpl w:val="28780BC0"/>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C8A7180"/>
    <w:multiLevelType w:val="hybridMultilevel"/>
    <w:tmpl w:val="B2D2D04C"/>
    <w:lvl w:ilvl="0" w:tplc="AA5ABE12">
      <w:start w:val="1"/>
      <w:numFmt w:val="decimal"/>
      <w:lvlText w:val="%1."/>
      <w:lvlJc w:val="left"/>
      <w:pPr>
        <w:ind w:left="360" w:hanging="360"/>
      </w:pPr>
      <w:rPr>
        <w:b/>
        <w:bCs/>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7E6899"/>
    <w:multiLevelType w:val="multilevel"/>
    <w:tmpl w:val="2402DEF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7906F5"/>
    <w:multiLevelType w:val="hybridMultilevel"/>
    <w:tmpl w:val="7352AA1E"/>
    <w:lvl w:ilvl="0" w:tplc="04090019">
      <w:start w:val="1"/>
      <w:numFmt w:val="lowerLetter"/>
      <w:lvlText w:val="%1."/>
      <w:lvlJc w:val="left"/>
      <w:pPr>
        <w:ind w:left="1440" w:hanging="360"/>
      </w:pPr>
    </w:lvl>
    <w:lvl w:ilvl="1" w:tplc="57B08620">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E7360A"/>
    <w:multiLevelType w:val="hybridMultilevel"/>
    <w:tmpl w:val="DC5AF1EE"/>
    <w:lvl w:ilvl="0" w:tplc="67326A12">
      <w:start w:val="1"/>
      <w:numFmt w:val="bullet"/>
      <w:lvlText w:val=""/>
      <w:lvlJc w:val="left"/>
      <w:pPr>
        <w:tabs>
          <w:tab w:val="num" w:pos="360"/>
        </w:tabs>
        <w:ind w:left="360" w:hanging="360"/>
      </w:pPr>
      <w:rPr>
        <w:rFonts w:ascii="Symbol" w:hAnsi="Symbol" w:hint="default"/>
        <w:color w:val="auto"/>
      </w:rPr>
    </w:lvl>
    <w:lvl w:ilvl="1" w:tplc="40090019" w:tentative="1">
      <w:start w:val="1"/>
      <w:numFmt w:val="bullet"/>
      <w:lvlText w:val="o"/>
      <w:lvlJc w:val="left"/>
      <w:pPr>
        <w:tabs>
          <w:tab w:val="num" w:pos="1440"/>
        </w:tabs>
        <w:ind w:left="1440" w:hanging="360"/>
      </w:pPr>
      <w:rPr>
        <w:rFonts w:ascii="Courier New" w:hAnsi="Courier New" w:hint="default"/>
      </w:rPr>
    </w:lvl>
    <w:lvl w:ilvl="2" w:tplc="4009001B" w:tentative="1">
      <w:start w:val="1"/>
      <w:numFmt w:val="bullet"/>
      <w:lvlText w:val=""/>
      <w:lvlJc w:val="left"/>
      <w:pPr>
        <w:tabs>
          <w:tab w:val="num" w:pos="2160"/>
        </w:tabs>
        <w:ind w:left="2160" w:hanging="360"/>
      </w:pPr>
      <w:rPr>
        <w:rFonts w:ascii="Wingdings" w:hAnsi="Wingdings" w:hint="default"/>
      </w:rPr>
    </w:lvl>
    <w:lvl w:ilvl="3" w:tplc="4009000F" w:tentative="1">
      <w:start w:val="1"/>
      <w:numFmt w:val="bullet"/>
      <w:lvlText w:val=""/>
      <w:lvlJc w:val="left"/>
      <w:pPr>
        <w:tabs>
          <w:tab w:val="num" w:pos="2880"/>
        </w:tabs>
        <w:ind w:left="2880" w:hanging="360"/>
      </w:pPr>
      <w:rPr>
        <w:rFonts w:ascii="Symbol" w:hAnsi="Symbol" w:hint="default"/>
      </w:rPr>
    </w:lvl>
    <w:lvl w:ilvl="4" w:tplc="40090019" w:tentative="1">
      <w:start w:val="1"/>
      <w:numFmt w:val="bullet"/>
      <w:lvlText w:val="o"/>
      <w:lvlJc w:val="left"/>
      <w:pPr>
        <w:tabs>
          <w:tab w:val="num" w:pos="3600"/>
        </w:tabs>
        <w:ind w:left="3600" w:hanging="360"/>
      </w:pPr>
      <w:rPr>
        <w:rFonts w:ascii="Courier New" w:hAnsi="Courier New" w:hint="default"/>
      </w:rPr>
    </w:lvl>
    <w:lvl w:ilvl="5" w:tplc="4009001B" w:tentative="1">
      <w:start w:val="1"/>
      <w:numFmt w:val="bullet"/>
      <w:lvlText w:val=""/>
      <w:lvlJc w:val="left"/>
      <w:pPr>
        <w:tabs>
          <w:tab w:val="num" w:pos="4320"/>
        </w:tabs>
        <w:ind w:left="4320" w:hanging="360"/>
      </w:pPr>
      <w:rPr>
        <w:rFonts w:ascii="Wingdings" w:hAnsi="Wingdings" w:hint="default"/>
      </w:rPr>
    </w:lvl>
    <w:lvl w:ilvl="6" w:tplc="4009000F" w:tentative="1">
      <w:start w:val="1"/>
      <w:numFmt w:val="bullet"/>
      <w:lvlText w:val=""/>
      <w:lvlJc w:val="left"/>
      <w:pPr>
        <w:tabs>
          <w:tab w:val="num" w:pos="5040"/>
        </w:tabs>
        <w:ind w:left="5040" w:hanging="360"/>
      </w:pPr>
      <w:rPr>
        <w:rFonts w:ascii="Symbol" w:hAnsi="Symbol" w:hint="default"/>
      </w:rPr>
    </w:lvl>
    <w:lvl w:ilvl="7" w:tplc="40090019" w:tentative="1">
      <w:start w:val="1"/>
      <w:numFmt w:val="bullet"/>
      <w:lvlText w:val="o"/>
      <w:lvlJc w:val="left"/>
      <w:pPr>
        <w:tabs>
          <w:tab w:val="num" w:pos="5760"/>
        </w:tabs>
        <w:ind w:left="5760" w:hanging="360"/>
      </w:pPr>
      <w:rPr>
        <w:rFonts w:ascii="Courier New" w:hAnsi="Courier New" w:hint="default"/>
      </w:rPr>
    </w:lvl>
    <w:lvl w:ilvl="8" w:tplc="40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A144E"/>
    <w:multiLevelType w:val="multilevel"/>
    <w:tmpl w:val="812E67E2"/>
    <w:lvl w:ilvl="0">
      <w:start w:val="1"/>
      <w:numFmt w:val="lowerLetter"/>
      <w:lvlText w:val="%1)"/>
      <w:lvlJc w:val="left"/>
      <w:pPr>
        <w:tabs>
          <w:tab w:val="num" w:pos="0"/>
        </w:tabs>
        <w:ind w:left="720" w:hanging="720"/>
      </w:pPr>
      <w:rPr>
        <w:rFonts w:ascii="Rupee Foradian" w:eastAsia="Times New Roman" w:hAnsi="Rupee Foradian" w:cs="Arial Narrow"/>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2880"/>
        </w:tabs>
        <w:ind w:left="3600" w:hanging="720"/>
      </w:pPr>
      <w:rPr>
        <w:rFonts w:ascii="Rupee Foradian" w:eastAsia="Times New Roman" w:hAnsi="Rupee Foradian" w:cs="Arial" w:hint="default"/>
        <w:b w:val="0"/>
        <w:bCs w:val="0"/>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3060"/>
        </w:tabs>
        <w:ind w:left="198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9" w15:restartNumberingAfterBreak="0">
    <w:nsid w:val="6DB5791B"/>
    <w:multiLevelType w:val="hybridMultilevel"/>
    <w:tmpl w:val="28780BC0"/>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ECD7503"/>
    <w:multiLevelType w:val="hybridMultilevel"/>
    <w:tmpl w:val="57689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83900"/>
    <w:multiLevelType w:val="hybridMultilevel"/>
    <w:tmpl w:val="036474A6"/>
    <w:lvl w:ilvl="0" w:tplc="3B86EDC2">
      <w:start w:val="2"/>
      <w:numFmt w:val="lowerRoman"/>
      <w:lvlText w:val="(%1)"/>
      <w:lvlJc w:val="left"/>
      <w:pPr>
        <w:ind w:left="1080" w:hanging="72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90388"/>
    <w:multiLevelType w:val="hybridMultilevel"/>
    <w:tmpl w:val="5A7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93780"/>
    <w:multiLevelType w:val="multilevel"/>
    <w:tmpl w:val="ECC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6C07CE"/>
    <w:multiLevelType w:val="hybridMultilevel"/>
    <w:tmpl w:val="28780BC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CDD0E04"/>
    <w:multiLevelType w:val="hybridMultilevel"/>
    <w:tmpl w:val="28780BC0"/>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F982E58"/>
    <w:multiLevelType w:val="hybridMultilevel"/>
    <w:tmpl w:val="44049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11"/>
  </w:num>
  <w:num w:numId="4">
    <w:abstractNumId w:val="34"/>
  </w:num>
  <w:num w:numId="5">
    <w:abstractNumId w:val="3"/>
  </w:num>
  <w:num w:numId="6">
    <w:abstractNumId w:val="22"/>
  </w:num>
  <w:num w:numId="7">
    <w:abstractNumId w:val="26"/>
  </w:num>
  <w:num w:numId="8">
    <w:abstractNumId w:val="35"/>
  </w:num>
  <w:num w:numId="9">
    <w:abstractNumId w:val="35"/>
    <w:lvlOverride w:ilvl="0">
      <w:lvl w:ilvl="0">
        <w:numFmt w:val="decimal"/>
        <w:lvlText w:val=""/>
        <w:lvlJc w:val="left"/>
      </w:lvl>
    </w:lvlOverride>
    <w:lvlOverride w:ilvl="1">
      <w:lvl w:ilvl="1">
        <w:numFmt w:val="lowerRoman"/>
        <w:lvlText w:val="%2."/>
        <w:lvlJc w:val="right"/>
      </w:lvl>
    </w:lvlOverride>
  </w:num>
  <w:num w:numId="10">
    <w:abstractNumId w:val="8"/>
  </w:num>
  <w:num w:numId="11">
    <w:abstractNumId w:val="19"/>
  </w:num>
  <w:num w:numId="12">
    <w:abstractNumId w:val="36"/>
  </w:num>
  <w:num w:numId="13">
    <w:abstractNumId w:val="28"/>
  </w:num>
  <w:num w:numId="14">
    <w:abstractNumId w:val="46"/>
  </w:num>
  <w:num w:numId="15">
    <w:abstractNumId w:val="44"/>
  </w:num>
  <w:num w:numId="16">
    <w:abstractNumId w:val="45"/>
  </w:num>
  <w:num w:numId="17">
    <w:abstractNumId w:val="6"/>
  </w:num>
  <w:num w:numId="18">
    <w:abstractNumId w:val="39"/>
  </w:num>
  <w:num w:numId="19">
    <w:abstractNumId w:val="20"/>
  </w:num>
  <w:num w:numId="20">
    <w:abstractNumId w:val="16"/>
  </w:num>
  <w:num w:numId="21">
    <w:abstractNumId w:val="43"/>
  </w:num>
  <w:num w:numId="22">
    <w:abstractNumId w:val="10"/>
  </w:num>
  <w:num w:numId="23">
    <w:abstractNumId w:val="5"/>
  </w:num>
  <w:num w:numId="24">
    <w:abstractNumId w:val="30"/>
  </w:num>
  <w:num w:numId="25">
    <w:abstractNumId w:val="42"/>
  </w:num>
  <w:num w:numId="26">
    <w:abstractNumId w:val="18"/>
  </w:num>
  <w:num w:numId="27">
    <w:abstractNumId w:val="12"/>
  </w:num>
  <w:num w:numId="28">
    <w:abstractNumId w:val="15"/>
  </w:num>
  <w:num w:numId="29">
    <w:abstractNumId w:val="38"/>
  </w:num>
  <w:num w:numId="30">
    <w:abstractNumId w:val="17"/>
  </w:num>
  <w:num w:numId="31">
    <w:abstractNumId w:val="41"/>
  </w:num>
  <w:num w:numId="32">
    <w:abstractNumId w:val="29"/>
  </w:num>
  <w:num w:numId="33">
    <w:abstractNumId w:val="1"/>
  </w:num>
  <w:num w:numId="34">
    <w:abstractNumId w:val="31"/>
  </w:num>
  <w:num w:numId="35">
    <w:abstractNumId w:val="0"/>
  </w:num>
  <w:num w:numId="36">
    <w:abstractNumId w:val="27"/>
  </w:num>
  <w:num w:numId="37">
    <w:abstractNumId w:val="13"/>
  </w:num>
  <w:num w:numId="38">
    <w:abstractNumId w:val="2"/>
  </w:num>
  <w:num w:numId="39">
    <w:abstractNumId w:val="4"/>
  </w:num>
  <w:num w:numId="40">
    <w:abstractNumId w:val="14"/>
  </w:num>
  <w:num w:numId="41">
    <w:abstractNumId w:val="24"/>
  </w:num>
  <w:num w:numId="42">
    <w:abstractNumId w:val="7"/>
  </w:num>
  <w:num w:numId="43">
    <w:abstractNumId w:val="33"/>
  </w:num>
  <w:num w:numId="44">
    <w:abstractNumId w:val="37"/>
  </w:num>
  <w:num w:numId="45">
    <w:abstractNumId w:val="9"/>
  </w:num>
  <w:num w:numId="46">
    <w:abstractNumId w:val="25"/>
  </w:num>
  <w:num w:numId="47">
    <w:abstractNumId w:val="2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7E"/>
    <w:rsid w:val="00005C11"/>
    <w:rsid w:val="00007059"/>
    <w:rsid w:val="00076528"/>
    <w:rsid w:val="00080A12"/>
    <w:rsid w:val="00092533"/>
    <w:rsid w:val="000A3A59"/>
    <w:rsid w:val="000C4120"/>
    <w:rsid w:val="000C4FAC"/>
    <w:rsid w:val="000F0D4E"/>
    <w:rsid w:val="001066D0"/>
    <w:rsid w:val="001135CA"/>
    <w:rsid w:val="00134887"/>
    <w:rsid w:val="001525B9"/>
    <w:rsid w:val="001D330D"/>
    <w:rsid w:val="001D647A"/>
    <w:rsid w:val="001E7DFF"/>
    <w:rsid w:val="001F6DE7"/>
    <w:rsid w:val="00224A03"/>
    <w:rsid w:val="002453D7"/>
    <w:rsid w:val="002543BA"/>
    <w:rsid w:val="00254FB0"/>
    <w:rsid w:val="002B2ABA"/>
    <w:rsid w:val="002C3275"/>
    <w:rsid w:val="002C4DB9"/>
    <w:rsid w:val="002C6BA2"/>
    <w:rsid w:val="002F08FE"/>
    <w:rsid w:val="002F0EEC"/>
    <w:rsid w:val="002F46D2"/>
    <w:rsid w:val="002F54F2"/>
    <w:rsid w:val="003003ED"/>
    <w:rsid w:val="0030245F"/>
    <w:rsid w:val="003062CA"/>
    <w:rsid w:val="0033765D"/>
    <w:rsid w:val="0037777F"/>
    <w:rsid w:val="00395489"/>
    <w:rsid w:val="003A4E53"/>
    <w:rsid w:val="003B2E52"/>
    <w:rsid w:val="003C46B3"/>
    <w:rsid w:val="00412E9C"/>
    <w:rsid w:val="004319BA"/>
    <w:rsid w:val="00445B1C"/>
    <w:rsid w:val="00487ABA"/>
    <w:rsid w:val="00492368"/>
    <w:rsid w:val="00495F6E"/>
    <w:rsid w:val="004C6ADD"/>
    <w:rsid w:val="004D4115"/>
    <w:rsid w:val="00555D50"/>
    <w:rsid w:val="00565EEA"/>
    <w:rsid w:val="00596D21"/>
    <w:rsid w:val="00597576"/>
    <w:rsid w:val="005E7ABB"/>
    <w:rsid w:val="005E7EAD"/>
    <w:rsid w:val="00632ECB"/>
    <w:rsid w:val="006336FB"/>
    <w:rsid w:val="00635B2A"/>
    <w:rsid w:val="006708D6"/>
    <w:rsid w:val="006908E0"/>
    <w:rsid w:val="006A5B51"/>
    <w:rsid w:val="006C1598"/>
    <w:rsid w:val="006E2645"/>
    <w:rsid w:val="006F24B9"/>
    <w:rsid w:val="006F29F6"/>
    <w:rsid w:val="007203FE"/>
    <w:rsid w:val="00755F5D"/>
    <w:rsid w:val="007C1B56"/>
    <w:rsid w:val="008046EA"/>
    <w:rsid w:val="0081572A"/>
    <w:rsid w:val="0082298D"/>
    <w:rsid w:val="008447F0"/>
    <w:rsid w:val="00845C02"/>
    <w:rsid w:val="00852FE9"/>
    <w:rsid w:val="00875666"/>
    <w:rsid w:val="008A540F"/>
    <w:rsid w:val="008D7252"/>
    <w:rsid w:val="008E10E5"/>
    <w:rsid w:val="009022D7"/>
    <w:rsid w:val="0094107E"/>
    <w:rsid w:val="00962E83"/>
    <w:rsid w:val="00963058"/>
    <w:rsid w:val="00963BCB"/>
    <w:rsid w:val="00972AA1"/>
    <w:rsid w:val="00984A3C"/>
    <w:rsid w:val="00990F41"/>
    <w:rsid w:val="00991E8D"/>
    <w:rsid w:val="009B0594"/>
    <w:rsid w:val="009C6FF0"/>
    <w:rsid w:val="009D560D"/>
    <w:rsid w:val="009F6BFE"/>
    <w:rsid w:val="00A008B7"/>
    <w:rsid w:val="00A059F1"/>
    <w:rsid w:val="00A26851"/>
    <w:rsid w:val="00A4768D"/>
    <w:rsid w:val="00A80F0C"/>
    <w:rsid w:val="00A81548"/>
    <w:rsid w:val="00AA2C9B"/>
    <w:rsid w:val="00AD30B6"/>
    <w:rsid w:val="00AF0CC8"/>
    <w:rsid w:val="00AF2215"/>
    <w:rsid w:val="00AF5EF6"/>
    <w:rsid w:val="00B02287"/>
    <w:rsid w:val="00B13B0A"/>
    <w:rsid w:val="00B25744"/>
    <w:rsid w:val="00B516A7"/>
    <w:rsid w:val="00BD4A9A"/>
    <w:rsid w:val="00C070F8"/>
    <w:rsid w:val="00C12921"/>
    <w:rsid w:val="00C20044"/>
    <w:rsid w:val="00C20BB4"/>
    <w:rsid w:val="00C23DDC"/>
    <w:rsid w:val="00C41123"/>
    <w:rsid w:val="00D2046A"/>
    <w:rsid w:val="00D37EF6"/>
    <w:rsid w:val="00D50702"/>
    <w:rsid w:val="00DC2E07"/>
    <w:rsid w:val="00DC3B5B"/>
    <w:rsid w:val="00DC3CEB"/>
    <w:rsid w:val="00DD6714"/>
    <w:rsid w:val="00DF4B07"/>
    <w:rsid w:val="00DF7688"/>
    <w:rsid w:val="00E01D98"/>
    <w:rsid w:val="00E177D3"/>
    <w:rsid w:val="00E43D25"/>
    <w:rsid w:val="00E70B5D"/>
    <w:rsid w:val="00EB7CE3"/>
    <w:rsid w:val="00ED7E35"/>
    <w:rsid w:val="00EE2387"/>
    <w:rsid w:val="00EE2D14"/>
    <w:rsid w:val="00F14A3A"/>
    <w:rsid w:val="00F24ECA"/>
    <w:rsid w:val="00F82274"/>
    <w:rsid w:val="00FC11B5"/>
    <w:rsid w:val="00FC5342"/>
    <w:rsid w:val="00FE23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61DB"/>
  <w15:docId w15:val="{C0DFA80A-2E29-4F98-8FFE-D69D3179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BFE"/>
  </w:style>
  <w:style w:type="paragraph" w:styleId="Heading1">
    <w:name w:val="heading 1"/>
    <w:basedOn w:val="Normal"/>
    <w:next w:val="Normal"/>
    <w:link w:val="Heading1Char"/>
    <w:uiPriority w:val="9"/>
    <w:qFormat/>
    <w:rsid w:val="000A3A59"/>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3777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4B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HEAD 3,Citation List,Resume Title,List Paragraph (numbered (a)),References,MC Paragraphe Liste,Normal 2,heading 4,Report Para,Heading 41,Heading 411,Graphic,List Paragraph1,normal,First level bullet"/>
    <w:basedOn w:val="Normal"/>
    <w:link w:val="ListParagraphChar"/>
    <w:qFormat/>
    <w:rsid w:val="0094107E"/>
    <w:pPr>
      <w:ind w:left="720"/>
      <w:contextualSpacing/>
    </w:pPr>
  </w:style>
  <w:style w:type="character" w:customStyle="1" w:styleId="Heading2Char">
    <w:name w:val="Heading 2 Char"/>
    <w:basedOn w:val="DefaultParagraphFont"/>
    <w:link w:val="Heading2"/>
    <w:uiPriority w:val="9"/>
    <w:rsid w:val="0037777F"/>
    <w:rPr>
      <w:rFonts w:ascii="Times New Roman" w:eastAsia="Times New Roman" w:hAnsi="Times New Roman" w:cs="Times New Roman"/>
      <w:b/>
      <w:bCs/>
      <w:sz w:val="36"/>
      <w:szCs w:val="36"/>
    </w:rPr>
  </w:style>
  <w:style w:type="character" w:styleId="Strong">
    <w:name w:val="Strong"/>
    <w:basedOn w:val="DefaultParagraphFont"/>
    <w:uiPriority w:val="22"/>
    <w:qFormat/>
    <w:rsid w:val="0037777F"/>
    <w:rPr>
      <w:b/>
      <w:bCs/>
    </w:rPr>
  </w:style>
  <w:style w:type="character" w:customStyle="1" w:styleId="apple-converted-space">
    <w:name w:val="apple-converted-space"/>
    <w:basedOn w:val="DefaultParagraphFont"/>
    <w:rsid w:val="0037777F"/>
  </w:style>
  <w:style w:type="character" w:styleId="Hyperlink">
    <w:name w:val="Hyperlink"/>
    <w:basedOn w:val="DefaultParagraphFont"/>
    <w:uiPriority w:val="99"/>
    <w:unhideWhenUsed/>
    <w:rsid w:val="0037777F"/>
    <w:rPr>
      <w:color w:val="0000FF"/>
      <w:u w:val="single"/>
    </w:rPr>
  </w:style>
  <w:style w:type="character" w:customStyle="1" w:styleId="Heading3Char">
    <w:name w:val="Heading 3 Char"/>
    <w:basedOn w:val="DefaultParagraphFont"/>
    <w:link w:val="Heading3"/>
    <w:uiPriority w:val="9"/>
    <w:semiHidden/>
    <w:rsid w:val="00DF4B0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F4B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F4B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7C1B56"/>
    <w:pPr>
      <w:widowControl w:val="0"/>
      <w:autoSpaceDE w:val="0"/>
      <w:autoSpaceDN w:val="0"/>
      <w:adjustRightInd w:val="0"/>
      <w:spacing w:after="120" w:line="240" w:lineRule="auto"/>
      <w:ind w:left="360"/>
    </w:pPr>
    <w:rPr>
      <w:rFonts w:ascii="Times New Roman" w:eastAsia="Times New Roman" w:hAnsi="Times New Roman" w:cs="Times New Roman"/>
      <w:sz w:val="24"/>
      <w:szCs w:val="24"/>
      <w:lang w:eastAsia="en-GB" w:bidi="ar-SA"/>
    </w:rPr>
  </w:style>
  <w:style w:type="character" w:customStyle="1" w:styleId="BodyTextIndentChar">
    <w:name w:val="Body Text Indent Char"/>
    <w:basedOn w:val="DefaultParagraphFont"/>
    <w:link w:val="BodyTextIndent"/>
    <w:rsid w:val="007C1B56"/>
    <w:rPr>
      <w:rFonts w:ascii="Times New Roman" w:eastAsia="Times New Roman" w:hAnsi="Times New Roman" w:cs="Times New Roman"/>
      <w:sz w:val="24"/>
      <w:szCs w:val="24"/>
      <w:lang w:eastAsia="en-GB" w:bidi="ar-SA"/>
    </w:rPr>
  </w:style>
  <w:style w:type="paragraph" w:customStyle="1" w:styleId="Default">
    <w:name w:val="Default"/>
    <w:rsid w:val="007C1B5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C4120"/>
    <w:rPr>
      <w:color w:val="800080" w:themeColor="followedHyperlink"/>
      <w:u w:val="single"/>
    </w:rPr>
  </w:style>
  <w:style w:type="paragraph" w:styleId="BalloonText">
    <w:name w:val="Balloon Text"/>
    <w:basedOn w:val="Normal"/>
    <w:link w:val="BalloonTextChar"/>
    <w:uiPriority w:val="99"/>
    <w:semiHidden/>
    <w:unhideWhenUsed/>
    <w:rsid w:val="008E10E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E10E5"/>
    <w:rPr>
      <w:rFonts w:ascii="Tahoma" w:hAnsi="Tahoma" w:cs="Mangal"/>
      <w:sz w:val="16"/>
      <w:szCs w:val="14"/>
    </w:rPr>
  </w:style>
  <w:style w:type="character" w:customStyle="1" w:styleId="Heading1Char">
    <w:name w:val="Heading 1 Char"/>
    <w:basedOn w:val="DefaultParagraphFont"/>
    <w:link w:val="Heading1"/>
    <w:uiPriority w:val="9"/>
    <w:rsid w:val="000A3A59"/>
    <w:rPr>
      <w:rFonts w:asciiTheme="majorHAnsi" w:eastAsiaTheme="majorEastAsia" w:hAnsiTheme="majorHAnsi" w:cstheme="majorBidi"/>
      <w:b/>
      <w:bCs/>
      <w:color w:val="365F91" w:themeColor="accent1" w:themeShade="BF"/>
      <w:sz w:val="28"/>
      <w:szCs w:val="25"/>
    </w:rPr>
  </w:style>
  <w:style w:type="paragraph" w:customStyle="1" w:styleId="DefaultText">
    <w:name w:val="Default Text"/>
    <w:basedOn w:val="Normal"/>
    <w:link w:val="DefaultTextChar"/>
    <w:rsid w:val="006F24B9"/>
    <w:pPr>
      <w:autoSpaceDE w:val="0"/>
      <w:autoSpaceDN w:val="0"/>
      <w:adjustRightInd w:val="0"/>
      <w:spacing w:after="0"/>
      <w:ind w:left="562" w:hanging="562"/>
    </w:pPr>
    <w:rPr>
      <w:rFonts w:ascii="Times New Roman" w:eastAsia="Times New Roman" w:hAnsi="Times New Roman" w:cs="Times New Roman"/>
      <w:sz w:val="24"/>
      <w:szCs w:val="24"/>
      <w:lang w:bidi="ar-SA"/>
    </w:rPr>
  </w:style>
  <w:style w:type="character" w:customStyle="1" w:styleId="DefaultTextChar">
    <w:name w:val="Default Text Char"/>
    <w:basedOn w:val="DefaultParagraphFont"/>
    <w:link w:val="DefaultText"/>
    <w:rsid w:val="006F24B9"/>
    <w:rPr>
      <w:rFonts w:ascii="Times New Roman" w:eastAsia="Times New Roman" w:hAnsi="Times New Roman" w:cs="Times New Roman"/>
      <w:sz w:val="24"/>
      <w:szCs w:val="24"/>
      <w:lang w:bidi="ar-SA"/>
    </w:rPr>
  </w:style>
  <w:style w:type="character" w:customStyle="1" w:styleId="ListParagraphChar">
    <w:name w:val="List Paragraph Char"/>
    <w:aliases w:val="Paragraph Char,HEAD 3 Char,Citation List Char,Resume Title Char,List Paragraph (numbered (a)) Char,References Char,MC Paragraphe Liste Char,Normal 2 Char,heading 4 Char,Report Para Char,Heading 41 Char,Heading 411 Char,Graphic Char"/>
    <w:link w:val="ListParagraph"/>
    <w:uiPriority w:val="34"/>
    <w:rsid w:val="006F2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028">
      <w:bodyDiv w:val="1"/>
      <w:marLeft w:val="0"/>
      <w:marRight w:val="0"/>
      <w:marTop w:val="0"/>
      <w:marBottom w:val="0"/>
      <w:divBdr>
        <w:top w:val="none" w:sz="0" w:space="0" w:color="auto"/>
        <w:left w:val="none" w:sz="0" w:space="0" w:color="auto"/>
        <w:bottom w:val="none" w:sz="0" w:space="0" w:color="auto"/>
        <w:right w:val="none" w:sz="0" w:space="0" w:color="auto"/>
      </w:divBdr>
    </w:div>
    <w:div w:id="475223361">
      <w:bodyDiv w:val="1"/>
      <w:marLeft w:val="0"/>
      <w:marRight w:val="0"/>
      <w:marTop w:val="0"/>
      <w:marBottom w:val="0"/>
      <w:divBdr>
        <w:top w:val="none" w:sz="0" w:space="0" w:color="auto"/>
        <w:left w:val="none" w:sz="0" w:space="0" w:color="auto"/>
        <w:bottom w:val="none" w:sz="0" w:space="0" w:color="auto"/>
        <w:right w:val="none" w:sz="0" w:space="0" w:color="auto"/>
      </w:divBdr>
    </w:div>
    <w:div w:id="1194734764">
      <w:bodyDiv w:val="1"/>
      <w:marLeft w:val="0"/>
      <w:marRight w:val="0"/>
      <w:marTop w:val="0"/>
      <w:marBottom w:val="0"/>
      <w:divBdr>
        <w:top w:val="none" w:sz="0" w:space="0" w:color="auto"/>
        <w:left w:val="none" w:sz="0" w:space="0" w:color="auto"/>
        <w:bottom w:val="none" w:sz="0" w:space="0" w:color="auto"/>
        <w:right w:val="none" w:sz="0" w:space="0" w:color="auto"/>
      </w:divBdr>
    </w:div>
    <w:div w:id="1413429030">
      <w:bodyDiv w:val="1"/>
      <w:marLeft w:val="0"/>
      <w:marRight w:val="0"/>
      <w:marTop w:val="0"/>
      <w:marBottom w:val="0"/>
      <w:divBdr>
        <w:top w:val="none" w:sz="0" w:space="0" w:color="auto"/>
        <w:left w:val="none" w:sz="0" w:space="0" w:color="auto"/>
        <w:bottom w:val="none" w:sz="0" w:space="0" w:color="auto"/>
        <w:right w:val="none" w:sz="0" w:space="0" w:color="auto"/>
      </w:divBdr>
    </w:div>
    <w:div w:id="19661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4178-975E-4E03-B59C-2D6AD9F8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rachanag</dc:creator>
  <cp:lastModifiedBy>Suresh Kumar Rai</cp:lastModifiedBy>
  <cp:revision>8</cp:revision>
  <cp:lastPrinted>2019-08-20T10:54:00Z</cp:lastPrinted>
  <dcterms:created xsi:type="dcterms:W3CDTF">2019-08-19T07:09:00Z</dcterms:created>
  <dcterms:modified xsi:type="dcterms:W3CDTF">2019-08-23T11:51:00Z</dcterms:modified>
</cp:coreProperties>
</file>